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CB9F0" w14:textId="77777777" w:rsidR="006006D2" w:rsidRPr="00AE00A9" w:rsidRDefault="006006D2" w:rsidP="00AE00A9">
      <w:pPr>
        <w:jc w:val="center"/>
        <w:rPr>
          <w:rFonts w:ascii="Arial Narrow" w:hAnsi="Arial Narrow"/>
          <w:b/>
          <w:sz w:val="24"/>
          <w:szCs w:val="24"/>
          <w:lang w:val="it-IT"/>
        </w:rPr>
      </w:pPr>
      <w:bookmarkStart w:id="0" w:name="_Hlk194912366"/>
      <w:bookmarkEnd w:id="0"/>
    </w:p>
    <w:p w14:paraId="25051BD9" w14:textId="77777777" w:rsidR="006006D2" w:rsidRDefault="006006D2" w:rsidP="00AE00A9">
      <w:pPr>
        <w:jc w:val="center"/>
        <w:rPr>
          <w:rFonts w:ascii="Arial Narrow" w:hAnsi="Arial Narrow"/>
          <w:b/>
          <w:sz w:val="24"/>
          <w:szCs w:val="24"/>
          <w:lang w:val="it-IT"/>
        </w:rPr>
      </w:pPr>
    </w:p>
    <w:p w14:paraId="16956220" w14:textId="77777777" w:rsidR="00AE00A9" w:rsidRDefault="00AE00A9" w:rsidP="00AE00A9">
      <w:pPr>
        <w:jc w:val="center"/>
        <w:rPr>
          <w:rFonts w:ascii="Arial Narrow" w:hAnsi="Arial Narrow"/>
          <w:b/>
          <w:sz w:val="24"/>
          <w:szCs w:val="24"/>
          <w:lang w:val="it-IT"/>
        </w:rPr>
      </w:pPr>
    </w:p>
    <w:p w14:paraId="2C8DA4BF" w14:textId="77777777" w:rsidR="00AE00A9" w:rsidRDefault="00AE00A9" w:rsidP="00AE00A9">
      <w:pPr>
        <w:jc w:val="center"/>
        <w:rPr>
          <w:rFonts w:ascii="Arial Narrow" w:hAnsi="Arial Narrow"/>
          <w:b/>
          <w:sz w:val="24"/>
          <w:szCs w:val="24"/>
          <w:lang w:val="it-IT"/>
        </w:rPr>
      </w:pPr>
    </w:p>
    <w:p w14:paraId="09A2C48A" w14:textId="77777777" w:rsidR="00AE00A9" w:rsidRDefault="00AE00A9" w:rsidP="00AE00A9">
      <w:pPr>
        <w:jc w:val="center"/>
        <w:rPr>
          <w:rFonts w:ascii="Arial Narrow" w:hAnsi="Arial Narrow"/>
          <w:b/>
          <w:sz w:val="24"/>
          <w:szCs w:val="24"/>
          <w:lang w:val="it-IT"/>
        </w:rPr>
      </w:pPr>
    </w:p>
    <w:p w14:paraId="63D97FF1" w14:textId="77777777" w:rsidR="00AE00A9" w:rsidRDefault="00AE00A9" w:rsidP="00AE00A9">
      <w:pPr>
        <w:jc w:val="center"/>
        <w:rPr>
          <w:rFonts w:ascii="Arial Narrow" w:hAnsi="Arial Narrow"/>
          <w:b/>
          <w:sz w:val="24"/>
          <w:szCs w:val="24"/>
          <w:lang w:val="it-IT"/>
        </w:rPr>
      </w:pPr>
    </w:p>
    <w:p w14:paraId="7F1F060F" w14:textId="77777777" w:rsidR="00AE00A9" w:rsidRPr="00AE00A9" w:rsidRDefault="00AE00A9" w:rsidP="00AE00A9">
      <w:pPr>
        <w:jc w:val="center"/>
        <w:rPr>
          <w:rFonts w:ascii="Arial Narrow" w:hAnsi="Arial Narrow"/>
          <w:b/>
          <w:sz w:val="24"/>
          <w:szCs w:val="24"/>
          <w:lang w:val="it-IT"/>
        </w:rPr>
      </w:pPr>
    </w:p>
    <w:p w14:paraId="44E14CC7" w14:textId="77777777" w:rsidR="005A494C" w:rsidRPr="00AE00A9" w:rsidRDefault="005A494C" w:rsidP="005A494C">
      <w:pPr>
        <w:jc w:val="center"/>
        <w:rPr>
          <w:rFonts w:ascii="Arial Narrow" w:hAnsi="Arial Narrow"/>
          <w:b/>
          <w:sz w:val="32"/>
          <w:szCs w:val="32"/>
          <w:lang w:val="it-IT"/>
        </w:rPr>
      </w:pPr>
      <w:r>
        <w:rPr>
          <w:rFonts w:ascii="Arial Narrow" w:hAnsi="Arial Narrow"/>
          <w:b/>
          <w:sz w:val="32"/>
          <w:szCs w:val="32"/>
          <w:lang w:val="it-IT"/>
        </w:rPr>
        <w:t>GHID</w:t>
      </w:r>
      <w:r w:rsidR="006006D2" w:rsidRPr="00AE00A9">
        <w:rPr>
          <w:rFonts w:ascii="Arial Narrow" w:hAnsi="Arial Narrow"/>
          <w:b/>
          <w:sz w:val="32"/>
          <w:szCs w:val="32"/>
          <w:lang w:val="it-IT"/>
        </w:rPr>
        <w:t xml:space="preserve"> </w:t>
      </w:r>
      <w:r>
        <w:rPr>
          <w:rFonts w:ascii="Arial Narrow" w:hAnsi="Arial Narrow"/>
          <w:b/>
          <w:sz w:val="32"/>
          <w:szCs w:val="32"/>
          <w:lang w:val="it-IT"/>
        </w:rPr>
        <w:t>TEME SECUNDARE</w:t>
      </w:r>
    </w:p>
    <w:p w14:paraId="15EB5B97" w14:textId="124B3674" w:rsidR="006006D2" w:rsidRPr="00AE00A9" w:rsidRDefault="006006D2" w:rsidP="00AE00A9">
      <w:pPr>
        <w:jc w:val="center"/>
        <w:rPr>
          <w:rFonts w:ascii="Arial Narrow" w:hAnsi="Arial Narrow"/>
          <w:b/>
          <w:sz w:val="32"/>
          <w:szCs w:val="32"/>
          <w:lang w:val="it-IT"/>
        </w:rPr>
      </w:pPr>
    </w:p>
    <w:p w14:paraId="027C0825" w14:textId="21679FBC" w:rsidR="006006D2" w:rsidRDefault="006006D2" w:rsidP="00AE00A9">
      <w:pPr>
        <w:jc w:val="center"/>
        <w:rPr>
          <w:rFonts w:ascii="Arial Narrow" w:hAnsi="Arial Narrow"/>
          <w:b/>
          <w:sz w:val="32"/>
          <w:szCs w:val="32"/>
          <w:lang w:val="it-IT"/>
        </w:rPr>
      </w:pPr>
      <w:r w:rsidRPr="00AE00A9">
        <w:rPr>
          <w:rFonts w:ascii="Arial Narrow" w:hAnsi="Arial Narrow"/>
          <w:b/>
          <w:sz w:val="32"/>
          <w:szCs w:val="32"/>
          <w:lang w:val="it-IT"/>
        </w:rPr>
        <w:t>”</w:t>
      </w:r>
      <w:r w:rsidR="00A5058C">
        <w:rPr>
          <w:rFonts w:ascii="Arial Narrow" w:hAnsi="Arial Narrow"/>
          <w:b/>
          <w:i/>
          <w:sz w:val="32"/>
          <w:szCs w:val="32"/>
          <w:lang w:val="it-IT"/>
        </w:rPr>
        <w:t>PROFESIONAL</w:t>
      </w:r>
      <w:r w:rsidRPr="00AE00A9">
        <w:rPr>
          <w:rFonts w:ascii="Arial Narrow" w:hAnsi="Arial Narrow"/>
          <w:b/>
          <w:sz w:val="32"/>
          <w:szCs w:val="32"/>
          <w:lang w:val="it-IT"/>
        </w:rPr>
        <w:t>”</w:t>
      </w:r>
    </w:p>
    <w:p w14:paraId="2B2A590E" w14:textId="77777777" w:rsidR="005A494C" w:rsidRDefault="005A494C" w:rsidP="00AE00A9">
      <w:pPr>
        <w:jc w:val="center"/>
        <w:rPr>
          <w:rFonts w:ascii="Arial Narrow" w:hAnsi="Arial Narrow"/>
          <w:b/>
          <w:sz w:val="32"/>
          <w:szCs w:val="32"/>
          <w:lang w:val="it-IT"/>
        </w:rPr>
      </w:pPr>
    </w:p>
    <w:p w14:paraId="34D893C8" w14:textId="2887962B" w:rsidR="005A494C" w:rsidRPr="00AE00A9" w:rsidRDefault="005A494C" w:rsidP="00AE00A9">
      <w:pPr>
        <w:jc w:val="center"/>
        <w:rPr>
          <w:rFonts w:ascii="Arial Narrow" w:hAnsi="Arial Narrow"/>
          <w:b/>
          <w:sz w:val="32"/>
          <w:szCs w:val="32"/>
          <w:lang w:val="it-IT"/>
        </w:rPr>
      </w:pPr>
      <w:r w:rsidRPr="005A494C">
        <w:rPr>
          <w:rFonts w:ascii="Arial Narrow" w:hAnsi="Arial Narrow"/>
          <w:b/>
          <w:sz w:val="32"/>
          <w:szCs w:val="32"/>
          <w:lang w:val="it-IT"/>
        </w:rPr>
        <w:t>POCU/726/6/12/135431</w:t>
      </w:r>
    </w:p>
    <w:p w14:paraId="6B512FF2" w14:textId="77777777" w:rsidR="006006D2" w:rsidRPr="00AE00A9" w:rsidRDefault="006006D2" w:rsidP="00AE00A9">
      <w:pPr>
        <w:jc w:val="center"/>
        <w:rPr>
          <w:rFonts w:ascii="Arial Narrow" w:hAnsi="Arial Narrow"/>
          <w:b/>
          <w:sz w:val="32"/>
          <w:szCs w:val="32"/>
          <w:lang w:val="it-IT"/>
        </w:rPr>
      </w:pPr>
    </w:p>
    <w:p w14:paraId="01CAF07D" w14:textId="77777777" w:rsidR="006006D2" w:rsidRDefault="006006D2" w:rsidP="00AE00A9">
      <w:pPr>
        <w:jc w:val="center"/>
        <w:rPr>
          <w:rFonts w:ascii="Arial Narrow" w:hAnsi="Arial Narrow"/>
          <w:b/>
          <w:sz w:val="32"/>
          <w:szCs w:val="32"/>
        </w:rPr>
      </w:pPr>
    </w:p>
    <w:p w14:paraId="19A5AB60" w14:textId="77777777" w:rsidR="005A494C" w:rsidRDefault="005A494C" w:rsidP="00AE00A9">
      <w:pPr>
        <w:jc w:val="center"/>
        <w:rPr>
          <w:rFonts w:ascii="Arial Narrow" w:hAnsi="Arial Narrow"/>
          <w:b/>
          <w:sz w:val="32"/>
          <w:szCs w:val="32"/>
        </w:rPr>
      </w:pPr>
    </w:p>
    <w:p w14:paraId="02C95560" w14:textId="77777777" w:rsidR="005A494C" w:rsidRPr="00AE00A9" w:rsidRDefault="005A494C" w:rsidP="00AE00A9">
      <w:pPr>
        <w:jc w:val="center"/>
        <w:rPr>
          <w:rFonts w:ascii="Arial Narrow" w:hAnsi="Arial Narrow"/>
          <w:b/>
          <w:sz w:val="24"/>
          <w:szCs w:val="24"/>
        </w:rPr>
      </w:pPr>
    </w:p>
    <w:p w14:paraId="6C5A31CA" w14:textId="77777777" w:rsidR="006006D2" w:rsidRPr="00AE00A9" w:rsidRDefault="006006D2" w:rsidP="00AE00A9">
      <w:pPr>
        <w:jc w:val="center"/>
        <w:rPr>
          <w:rFonts w:ascii="Arial Narrow" w:hAnsi="Arial Narrow"/>
          <w:b/>
          <w:sz w:val="24"/>
          <w:szCs w:val="24"/>
        </w:rPr>
      </w:pPr>
    </w:p>
    <w:p w14:paraId="1E0E368E" w14:textId="77777777" w:rsidR="006006D2" w:rsidRPr="00AE00A9" w:rsidRDefault="006006D2" w:rsidP="00AE00A9">
      <w:pPr>
        <w:jc w:val="center"/>
        <w:rPr>
          <w:rFonts w:ascii="Arial Narrow" w:hAnsi="Arial Narrow"/>
          <w:b/>
          <w:sz w:val="24"/>
          <w:szCs w:val="24"/>
        </w:rPr>
      </w:pPr>
    </w:p>
    <w:p w14:paraId="6478D7EB" w14:textId="77777777" w:rsidR="006006D2" w:rsidRPr="00AE00A9" w:rsidRDefault="006006D2" w:rsidP="00AE00A9">
      <w:pPr>
        <w:jc w:val="center"/>
        <w:rPr>
          <w:rFonts w:ascii="Arial Narrow" w:hAnsi="Arial Narrow"/>
          <w:b/>
          <w:sz w:val="24"/>
          <w:szCs w:val="24"/>
        </w:rPr>
      </w:pPr>
    </w:p>
    <w:p w14:paraId="25E58928" w14:textId="77777777" w:rsidR="006006D2" w:rsidRPr="00AE00A9" w:rsidRDefault="006006D2" w:rsidP="00AE00A9">
      <w:pPr>
        <w:jc w:val="center"/>
        <w:rPr>
          <w:rFonts w:ascii="Arial Narrow" w:hAnsi="Arial Narrow"/>
          <w:b/>
          <w:sz w:val="24"/>
          <w:szCs w:val="24"/>
        </w:rPr>
      </w:pPr>
    </w:p>
    <w:p w14:paraId="25D7F6F1" w14:textId="77777777" w:rsidR="006006D2" w:rsidRPr="00AE00A9" w:rsidRDefault="006006D2" w:rsidP="00AE00A9">
      <w:pPr>
        <w:jc w:val="center"/>
        <w:rPr>
          <w:rFonts w:ascii="Arial Narrow" w:hAnsi="Arial Narrow"/>
          <w:b/>
          <w:sz w:val="24"/>
          <w:szCs w:val="24"/>
        </w:rPr>
      </w:pPr>
    </w:p>
    <w:p w14:paraId="7172F25C" w14:textId="77777777" w:rsidR="006006D2" w:rsidRPr="00AE00A9" w:rsidRDefault="006006D2" w:rsidP="00AE00A9">
      <w:pPr>
        <w:jc w:val="center"/>
        <w:rPr>
          <w:rFonts w:ascii="Arial Narrow" w:hAnsi="Arial Narrow"/>
          <w:b/>
          <w:sz w:val="24"/>
          <w:szCs w:val="24"/>
        </w:rPr>
      </w:pPr>
    </w:p>
    <w:p w14:paraId="6A5DE15B" w14:textId="77777777" w:rsidR="006006D2" w:rsidRDefault="006006D2" w:rsidP="00AE00A9">
      <w:pPr>
        <w:jc w:val="center"/>
        <w:rPr>
          <w:rFonts w:ascii="Arial Narrow" w:hAnsi="Arial Narrow"/>
          <w:b/>
          <w:sz w:val="24"/>
          <w:szCs w:val="24"/>
        </w:rPr>
      </w:pPr>
    </w:p>
    <w:p w14:paraId="6726D49B" w14:textId="77777777" w:rsidR="005A494C" w:rsidRDefault="005A494C" w:rsidP="005A494C">
      <w:pPr>
        <w:pStyle w:val="TOC1"/>
        <w:tabs>
          <w:tab w:val="right" w:leader="dot" w:pos="9016"/>
        </w:tabs>
        <w:rPr>
          <w:rFonts w:eastAsiaTheme="minorEastAsia"/>
          <w:noProof/>
          <w:kern w:val="2"/>
          <w:sz w:val="24"/>
          <w:szCs w:val="24"/>
          <w:lang w:val="ro-RO" w:eastAsia="ro-RO"/>
          <w14:ligatures w14:val="standardContextual"/>
        </w:rPr>
      </w:pPr>
      <w:r>
        <w:rPr>
          <w:lang w:val="ro-RO"/>
        </w:rPr>
        <w:fldChar w:fldCharType="begin"/>
      </w:r>
      <w:r>
        <w:rPr>
          <w:lang w:val="ro-RO"/>
        </w:rPr>
        <w:instrText xml:space="preserve"> TOC \o "1-3" \h \z \u </w:instrText>
      </w:r>
      <w:r>
        <w:rPr>
          <w:lang w:val="ro-RO"/>
        </w:rPr>
        <w:fldChar w:fldCharType="separate"/>
      </w:r>
      <w:hyperlink w:anchor="_Toc195262204" w:history="1">
        <w:r w:rsidRPr="00C87F59">
          <w:rPr>
            <w:rStyle w:val="Hyperlink"/>
            <w:noProof/>
            <w:lang w:val="ro-RO"/>
          </w:rPr>
          <w:t>Introducere</w:t>
        </w:r>
        <w:r>
          <w:rPr>
            <w:noProof/>
            <w:webHidden/>
          </w:rPr>
          <w:tab/>
        </w:r>
        <w:r>
          <w:rPr>
            <w:noProof/>
            <w:webHidden/>
          </w:rPr>
          <w:fldChar w:fldCharType="begin"/>
        </w:r>
        <w:r>
          <w:rPr>
            <w:noProof/>
            <w:webHidden/>
          </w:rPr>
          <w:instrText xml:space="preserve"> PAGEREF _Toc195262204 \h </w:instrText>
        </w:r>
        <w:r>
          <w:rPr>
            <w:noProof/>
            <w:webHidden/>
          </w:rPr>
        </w:r>
        <w:r>
          <w:rPr>
            <w:noProof/>
            <w:webHidden/>
          </w:rPr>
          <w:fldChar w:fldCharType="separate"/>
        </w:r>
        <w:r>
          <w:rPr>
            <w:noProof/>
            <w:webHidden/>
          </w:rPr>
          <w:t>2</w:t>
        </w:r>
        <w:r>
          <w:rPr>
            <w:noProof/>
            <w:webHidden/>
          </w:rPr>
          <w:fldChar w:fldCharType="end"/>
        </w:r>
      </w:hyperlink>
    </w:p>
    <w:p w14:paraId="57B7384A" w14:textId="77777777" w:rsidR="005A494C" w:rsidRDefault="005A494C" w:rsidP="005A494C">
      <w:pPr>
        <w:pStyle w:val="TOC1"/>
        <w:tabs>
          <w:tab w:val="right" w:leader="dot" w:pos="9016"/>
        </w:tabs>
        <w:rPr>
          <w:rFonts w:eastAsiaTheme="minorEastAsia"/>
          <w:noProof/>
          <w:kern w:val="2"/>
          <w:sz w:val="24"/>
          <w:szCs w:val="24"/>
          <w:lang w:val="ro-RO" w:eastAsia="ro-RO"/>
          <w14:ligatures w14:val="standardContextual"/>
        </w:rPr>
      </w:pPr>
      <w:hyperlink w:anchor="_Toc195262205" w:history="1">
        <w:r w:rsidRPr="00C87F59">
          <w:rPr>
            <w:rStyle w:val="Hyperlink"/>
            <w:noProof/>
            <w:lang w:val="ro-RO"/>
          </w:rPr>
          <w:t>Capitolul 1 – Inovarea socială: motorul transformării comunităților</w:t>
        </w:r>
        <w:r>
          <w:rPr>
            <w:noProof/>
            <w:webHidden/>
          </w:rPr>
          <w:tab/>
        </w:r>
        <w:r>
          <w:rPr>
            <w:noProof/>
            <w:webHidden/>
          </w:rPr>
          <w:fldChar w:fldCharType="begin"/>
        </w:r>
        <w:r>
          <w:rPr>
            <w:noProof/>
            <w:webHidden/>
          </w:rPr>
          <w:instrText xml:space="preserve"> PAGEREF _Toc195262205 \h </w:instrText>
        </w:r>
        <w:r>
          <w:rPr>
            <w:noProof/>
            <w:webHidden/>
          </w:rPr>
        </w:r>
        <w:r>
          <w:rPr>
            <w:noProof/>
            <w:webHidden/>
          </w:rPr>
          <w:fldChar w:fldCharType="separate"/>
        </w:r>
        <w:r>
          <w:rPr>
            <w:noProof/>
            <w:webHidden/>
          </w:rPr>
          <w:t>3</w:t>
        </w:r>
        <w:r>
          <w:rPr>
            <w:noProof/>
            <w:webHidden/>
          </w:rPr>
          <w:fldChar w:fldCharType="end"/>
        </w:r>
      </w:hyperlink>
    </w:p>
    <w:p w14:paraId="2AF763FF"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06" w:history="1">
        <w:r w:rsidRPr="00C87F59">
          <w:rPr>
            <w:rStyle w:val="Hyperlink"/>
            <w:noProof/>
            <w:lang w:val="ro-RO"/>
          </w:rPr>
          <w:t>Inovarea socială – o abordare complexă și transversală</w:t>
        </w:r>
        <w:r>
          <w:rPr>
            <w:noProof/>
            <w:webHidden/>
          </w:rPr>
          <w:tab/>
        </w:r>
        <w:r>
          <w:rPr>
            <w:noProof/>
            <w:webHidden/>
          </w:rPr>
          <w:fldChar w:fldCharType="begin"/>
        </w:r>
        <w:r>
          <w:rPr>
            <w:noProof/>
            <w:webHidden/>
          </w:rPr>
          <w:instrText xml:space="preserve"> PAGEREF _Toc195262206 \h </w:instrText>
        </w:r>
        <w:r>
          <w:rPr>
            <w:noProof/>
            <w:webHidden/>
          </w:rPr>
        </w:r>
        <w:r>
          <w:rPr>
            <w:noProof/>
            <w:webHidden/>
          </w:rPr>
          <w:fldChar w:fldCharType="separate"/>
        </w:r>
        <w:r>
          <w:rPr>
            <w:noProof/>
            <w:webHidden/>
          </w:rPr>
          <w:t>3</w:t>
        </w:r>
        <w:r>
          <w:rPr>
            <w:noProof/>
            <w:webHidden/>
          </w:rPr>
          <w:fldChar w:fldCharType="end"/>
        </w:r>
      </w:hyperlink>
    </w:p>
    <w:p w14:paraId="6FC403CD"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07" w:history="1">
        <w:r w:rsidRPr="00C87F59">
          <w:rPr>
            <w:rStyle w:val="Hyperlink"/>
            <w:noProof/>
            <w:lang w:val="ro-RO"/>
          </w:rPr>
          <w:t>Contextul european și recunoașterea instituțională</w:t>
        </w:r>
        <w:r>
          <w:rPr>
            <w:noProof/>
            <w:webHidden/>
          </w:rPr>
          <w:tab/>
        </w:r>
        <w:r>
          <w:rPr>
            <w:noProof/>
            <w:webHidden/>
          </w:rPr>
          <w:fldChar w:fldCharType="begin"/>
        </w:r>
        <w:r>
          <w:rPr>
            <w:noProof/>
            <w:webHidden/>
          </w:rPr>
          <w:instrText xml:space="preserve"> PAGEREF _Toc195262207 \h </w:instrText>
        </w:r>
        <w:r>
          <w:rPr>
            <w:noProof/>
            <w:webHidden/>
          </w:rPr>
        </w:r>
        <w:r>
          <w:rPr>
            <w:noProof/>
            <w:webHidden/>
          </w:rPr>
          <w:fldChar w:fldCharType="separate"/>
        </w:r>
        <w:r>
          <w:rPr>
            <w:noProof/>
            <w:webHidden/>
          </w:rPr>
          <w:t>3</w:t>
        </w:r>
        <w:r>
          <w:rPr>
            <w:noProof/>
            <w:webHidden/>
          </w:rPr>
          <w:fldChar w:fldCharType="end"/>
        </w:r>
      </w:hyperlink>
    </w:p>
    <w:p w14:paraId="4DD2CB54"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08" w:history="1">
        <w:r w:rsidRPr="00C87F59">
          <w:rPr>
            <w:rStyle w:val="Hyperlink"/>
            <w:noProof/>
            <w:lang w:val="ro-RO"/>
          </w:rPr>
          <w:t>Dimensiunea practică – cum arată inovația socială pe teren</w:t>
        </w:r>
        <w:r>
          <w:rPr>
            <w:noProof/>
            <w:webHidden/>
          </w:rPr>
          <w:tab/>
        </w:r>
        <w:r>
          <w:rPr>
            <w:noProof/>
            <w:webHidden/>
          </w:rPr>
          <w:fldChar w:fldCharType="begin"/>
        </w:r>
        <w:r>
          <w:rPr>
            <w:noProof/>
            <w:webHidden/>
          </w:rPr>
          <w:instrText xml:space="preserve"> PAGEREF _Toc195262208 \h </w:instrText>
        </w:r>
        <w:r>
          <w:rPr>
            <w:noProof/>
            <w:webHidden/>
          </w:rPr>
        </w:r>
        <w:r>
          <w:rPr>
            <w:noProof/>
            <w:webHidden/>
          </w:rPr>
          <w:fldChar w:fldCharType="separate"/>
        </w:r>
        <w:r>
          <w:rPr>
            <w:noProof/>
            <w:webHidden/>
          </w:rPr>
          <w:t>4</w:t>
        </w:r>
        <w:r>
          <w:rPr>
            <w:noProof/>
            <w:webHidden/>
          </w:rPr>
          <w:fldChar w:fldCharType="end"/>
        </w:r>
      </w:hyperlink>
    </w:p>
    <w:p w14:paraId="2ACF3919"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09" w:history="1">
        <w:r w:rsidRPr="00C87F59">
          <w:rPr>
            <w:rStyle w:val="Hyperlink"/>
            <w:noProof/>
            <w:lang w:val="ro-RO"/>
          </w:rPr>
          <w:t>Rolul profesioniștilor în ecosistemul inovării sociale</w:t>
        </w:r>
        <w:r>
          <w:rPr>
            <w:noProof/>
            <w:webHidden/>
          </w:rPr>
          <w:tab/>
        </w:r>
        <w:r>
          <w:rPr>
            <w:noProof/>
            <w:webHidden/>
          </w:rPr>
          <w:fldChar w:fldCharType="begin"/>
        </w:r>
        <w:r>
          <w:rPr>
            <w:noProof/>
            <w:webHidden/>
          </w:rPr>
          <w:instrText xml:space="preserve"> PAGEREF _Toc195262209 \h </w:instrText>
        </w:r>
        <w:r>
          <w:rPr>
            <w:noProof/>
            <w:webHidden/>
          </w:rPr>
        </w:r>
        <w:r>
          <w:rPr>
            <w:noProof/>
            <w:webHidden/>
          </w:rPr>
          <w:fldChar w:fldCharType="separate"/>
        </w:r>
        <w:r>
          <w:rPr>
            <w:noProof/>
            <w:webHidden/>
          </w:rPr>
          <w:t>4</w:t>
        </w:r>
        <w:r>
          <w:rPr>
            <w:noProof/>
            <w:webHidden/>
          </w:rPr>
          <w:fldChar w:fldCharType="end"/>
        </w:r>
      </w:hyperlink>
    </w:p>
    <w:p w14:paraId="6ACE36EA"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10" w:history="1">
        <w:r w:rsidRPr="00C87F59">
          <w:rPr>
            <w:rStyle w:val="Hyperlink"/>
            <w:noProof/>
            <w:lang w:val="ro-RO"/>
          </w:rPr>
          <w:t>Obstacole și provocări în calea inovației sociale</w:t>
        </w:r>
        <w:r>
          <w:rPr>
            <w:noProof/>
            <w:webHidden/>
          </w:rPr>
          <w:tab/>
        </w:r>
        <w:r>
          <w:rPr>
            <w:noProof/>
            <w:webHidden/>
          </w:rPr>
          <w:fldChar w:fldCharType="begin"/>
        </w:r>
        <w:r>
          <w:rPr>
            <w:noProof/>
            <w:webHidden/>
          </w:rPr>
          <w:instrText xml:space="preserve"> PAGEREF _Toc195262210 \h </w:instrText>
        </w:r>
        <w:r>
          <w:rPr>
            <w:noProof/>
            <w:webHidden/>
          </w:rPr>
        </w:r>
        <w:r>
          <w:rPr>
            <w:noProof/>
            <w:webHidden/>
          </w:rPr>
          <w:fldChar w:fldCharType="separate"/>
        </w:r>
        <w:r>
          <w:rPr>
            <w:noProof/>
            <w:webHidden/>
          </w:rPr>
          <w:t>5</w:t>
        </w:r>
        <w:r>
          <w:rPr>
            <w:noProof/>
            <w:webHidden/>
          </w:rPr>
          <w:fldChar w:fldCharType="end"/>
        </w:r>
      </w:hyperlink>
    </w:p>
    <w:p w14:paraId="041DB01D"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11" w:history="1">
        <w:r w:rsidRPr="00C87F59">
          <w:rPr>
            <w:rStyle w:val="Hyperlink"/>
            <w:noProof/>
            <w:lang w:val="ro-RO"/>
          </w:rPr>
          <w:t>Perspective de viitor</w:t>
        </w:r>
        <w:r>
          <w:rPr>
            <w:noProof/>
            <w:webHidden/>
          </w:rPr>
          <w:tab/>
        </w:r>
        <w:r>
          <w:rPr>
            <w:noProof/>
            <w:webHidden/>
          </w:rPr>
          <w:fldChar w:fldCharType="begin"/>
        </w:r>
        <w:r>
          <w:rPr>
            <w:noProof/>
            <w:webHidden/>
          </w:rPr>
          <w:instrText xml:space="preserve"> PAGEREF _Toc195262211 \h </w:instrText>
        </w:r>
        <w:r>
          <w:rPr>
            <w:noProof/>
            <w:webHidden/>
          </w:rPr>
        </w:r>
        <w:r>
          <w:rPr>
            <w:noProof/>
            <w:webHidden/>
          </w:rPr>
          <w:fldChar w:fldCharType="separate"/>
        </w:r>
        <w:r>
          <w:rPr>
            <w:noProof/>
            <w:webHidden/>
          </w:rPr>
          <w:t>5</w:t>
        </w:r>
        <w:r>
          <w:rPr>
            <w:noProof/>
            <w:webHidden/>
          </w:rPr>
          <w:fldChar w:fldCharType="end"/>
        </w:r>
      </w:hyperlink>
    </w:p>
    <w:p w14:paraId="01F9FAD1"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12" w:history="1">
        <w:r w:rsidRPr="00C87F59">
          <w:rPr>
            <w:rStyle w:val="Hyperlink"/>
            <w:noProof/>
            <w:lang w:val="ro-RO"/>
          </w:rPr>
          <w:t>Concluzie finală:</w:t>
        </w:r>
        <w:r>
          <w:rPr>
            <w:noProof/>
            <w:webHidden/>
          </w:rPr>
          <w:tab/>
        </w:r>
        <w:r>
          <w:rPr>
            <w:noProof/>
            <w:webHidden/>
          </w:rPr>
          <w:fldChar w:fldCharType="begin"/>
        </w:r>
        <w:r>
          <w:rPr>
            <w:noProof/>
            <w:webHidden/>
          </w:rPr>
          <w:instrText xml:space="preserve"> PAGEREF _Toc195262212 \h </w:instrText>
        </w:r>
        <w:r>
          <w:rPr>
            <w:noProof/>
            <w:webHidden/>
          </w:rPr>
        </w:r>
        <w:r>
          <w:rPr>
            <w:noProof/>
            <w:webHidden/>
          </w:rPr>
          <w:fldChar w:fldCharType="separate"/>
        </w:r>
        <w:r>
          <w:rPr>
            <w:noProof/>
            <w:webHidden/>
          </w:rPr>
          <w:t>5</w:t>
        </w:r>
        <w:r>
          <w:rPr>
            <w:noProof/>
            <w:webHidden/>
          </w:rPr>
          <w:fldChar w:fldCharType="end"/>
        </w:r>
      </w:hyperlink>
    </w:p>
    <w:p w14:paraId="6E17D2D4" w14:textId="77777777" w:rsidR="005A494C" w:rsidRDefault="005A494C" w:rsidP="005A494C">
      <w:pPr>
        <w:pStyle w:val="TOC1"/>
        <w:tabs>
          <w:tab w:val="right" w:leader="dot" w:pos="9016"/>
        </w:tabs>
        <w:rPr>
          <w:rFonts w:eastAsiaTheme="minorEastAsia"/>
          <w:noProof/>
          <w:kern w:val="2"/>
          <w:sz w:val="24"/>
          <w:szCs w:val="24"/>
          <w:lang w:val="ro-RO" w:eastAsia="ro-RO"/>
          <w14:ligatures w14:val="standardContextual"/>
        </w:rPr>
      </w:pPr>
      <w:hyperlink w:anchor="_Toc195262213" w:history="1">
        <w:r w:rsidRPr="00C87F59">
          <w:rPr>
            <w:rStyle w:val="Hyperlink"/>
            <w:noProof/>
            <w:lang w:val="ro-RO"/>
          </w:rPr>
          <w:t>Capitolul 2 – Îmbunătățirea accesibilității, a utilizării și a calității TIC</w:t>
        </w:r>
        <w:r>
          <w:rPr>
            <w:noProof/>
            <w:webHidden/>
          </w:rPr>
          <w:tab/>
        </w:r>
        <w:r>
          <w:rPr>
            <w:noProof/>
            <w:webHidden/>
          </w:rPr>
          <w:fldChar w:fldCharType="begin"/>
        </w:r>
        <w:r>
          <w:rPr>
            <w:noProof/>
            <w:webHidden/>
          </w:rPr>
          <w:instrText xml:space="preserve"> PAGEREF _Toc195262213 \h </w:instrText>
        </w:r>
        <w:r>
          <w:rPr>
            <w:noProof/>
            <w:webHidden/>
          </w:rPr>
        </w:r>
        <w:r>
          <w:rPr>
            <w:noProof/>
            <w:webHidden/>
          </w:rPr>
          <w:fldChar w:fldCharType="separate"/>
        </w:r>
        <w:r>
          <w:rPr>
            <w:noProof/>
            <w:webHidden/>
          </w:rPr>
          <w:t>6</w:t>
        </w:r>
        <w:r>
          <w:rPr>
            <w:noProof/>
            <w:webHidden/>
          </w:rPr>
          <w:fldChar w:fldCharType="end"/>
        </w:r>
      </w:hyperlink>
    </w:p>
    <w:p w14:paraId="230003FC"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14" w:history="1">
        <w:r w:rsidRPr="00C87F59">
          <w:rPr>
            <w:rStyle w:val="Hyperlink"/>
            <w:noProof/>
            <w:lang w:val="ro-RO"/>
          </w:rPr>
          <w:t>De ce accesibilitatea digitală contează mai mult ca oricând</w:t>
        </w:r>
        <w:r>
          <w:rPr>
            <w:noProof/>
            <w:webHidden/>
          </w:rPr>
          <w:tab/>
        </w:r>
        <w:r>
          <w:rPr>
            <w:noProof/>
            <w:webHidden/>
          </w:rPr>
          <w:fldChar w:fldCharType="begin"/>
        </w:r>
        <w:r>
          <w:rPr>
            <w:noProof/>
            <w:webHidden/>
          </w:rPr>
          <w:instrText xml:space="preserve"> PAGEREF _Toc195262214 \h </w:instrText>
        </w:r>
        <w:r>
          <w:rPr>
            <w:noProof/>
            <w:webHidden/>
          </w:rPr>
        </w:r>
        <w:r>
          <w:rPr>
            <w:noProof/>
            <w:webHidden/>
          </w:rPr>
          <w:fldChar w:fldCharType="separate"/>
        </w:r>
        <w:r>
          <w:rPr>
            <w:noProof/>
            <w:webHidden/>
          </w:rPr>
          <w:t>6</w:t>
        </w:r>
        <w:r>
          <w:rPr>
            <w:noProof/>
            <w:webHidden/>
          </w:rPr>
          <w:fldChar w:fldCharType="end"/>
        </w:r>
      </w:hyperlink>
    </w:p>
    <w:p w14:paraId="52A5936B"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15" w:history="1">
        <w:r w:rsidRPr="00C87F59">
          <w:rPr>
            <w:rStyle w:val="Hyperlink"/>
            <w:noProof/>
            <w:lang w:val="ro-RO"/>
          </w:rPr>
          <w:t>Alfabetizare digitală: mai mult decât un „skill”, o condiție a incluziunii</w:t>
        </w:r>
        <w:r>
          <w:rPr>
            <w:noProof/>
            <w:webHidden/>
          </w:rPr>
          <w:tab/>
        </w:r>
        <w:r>
          <w:rPr>
            <w:noProof/>
            <w:webHidden/>
          </w:rPr>
          <w:fldChar w:fldCharType="begin"/>
        </w:r>
        <w:r>
          <w:rPr>
            <w:noProof/>
            <w:webHidden/>
          </w:rPr>
          <w:instrText xml:space="preserve"> PAGEREF _Toc195262215 \h </w:instrText>
        </w:r>
        <w:r>
          <w:rPr>
            <w:noProof/>
            <w:webHidden/>
          </w:rPr>
        </w:r>
        <w:r>
          <w:rPr>
            <w:noProof/>
            <w:webHidden/>
          </w:rPr>
          <w:fldChar w:fldCharType="separate"/>
        </w:r>
        <w:r>
          <w:rPr>
            <w:noProof/>
            <w:webHidden/>
          </w:rPr>
          <w:t>6</w:t>
        </w:r>
        <w:r>
          <w:rPr>
            <w:noProof/>
            <w:webHidden/>
          </w:rPr>
          <w:fldChar w:fldCharType="end"/>
        </w:r>
      </w:hyperlink>
    </w:p>
    <w:p w14:paraId="3515448B"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16" w:history="1">
        <w:r w:rsidRPr="00C87F59">
          <w:rPr>
            <w:rStyle w:val="Hyperlink"/>
            <w:noProof/>
            <w:lang w:val="ro-RO"/>
          </w:rPr>
          <w:t>Calitatea TIC: de la conectivitate la inovație responsabilă</w:t>
        </w:r>
        <w:r>
          <w:rPr>
            <w:noProof/>
            <w:webHidden/>
          </w:rPr>
          <w:tab/>
        </w:r>
        <w:r>
          <w:rPr>
            <w:noProof/>
            <w:webHidden/>
          </w:rPr>
          <w:fldChar w:fldCharType="begin"/>
        </w:r>
        <w:r>
          <w:rPr>
            <w:noProof/>
            <w:webHidden/>
          </w:rPr>
          <w:instrText xml:space="preserve"> PAGEREF _Toc195262216 \h </w:instrText>
        </w:r>
        <w:r>
          <w:rPr>
            <w:noProof/>
            <w:webHidden/>
          </w:rPr>
        </w:r>
        <w:r>
          <w:rPr>
            <w:noProof/>
            <w:webHidden/>
          </w:rPr>
          <w:fldChar w:fldCharType="separate"/>
        </w:r>
        <w:r>
          <w:rPr>
            <w:noProof/>
            <w:webHidden/>
          </w:rPr>
          <w:t>7</w:t>
        </w:r>
        <w:r>
          <w:rPr>
            <w:noProof/>
            <w:webHidden/>
          </w:rPr>
          <w:fldChar w:fldCharType="end"/>
        </w:r>
      </w:hyperlink>
    </w:p>
    <w:p w14:paraId="0BF345B7"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17" w:history="1">
        <w:r w:rsidRPr="00C87F59">
          <w:rPr>
            <w:rStyle w:val="Hyperlink"/>
            <w:noProof/>
            <w:lang w:val="ro-RO"/>
          </w:rPr>
          <w:t>Tehnologiile emergente și șansa pentru incluziune</w:t>
        </w:r>
        <w:r>
          <w:rPr>
            <w:noProof/>
            <w:webHidden/>
          </w:rPr>
          <w:tab/>
        </w:r>
        <w:r>
          <w:rPr>
            <w:noProof/>
            <w:webHidden/>
          </w:rPr>
          <w:fldChar w:fldCharType="begin"/>
        </w:r>
        <w:r>
          <w:rPr>
            <w:noProof/>
            <w:webHidden/>
          </w:rPr>
          <w:instrText xml:space="preserve"> PAGEREF _Toc195262217 \h </w:instrText>
        </w:r>
        <w:r>
          <w:rPr>
            <w:noProof/>
            <w:webHidden/>
          </w:rPr>
        </w:r>
        <w:r>
          <w:rPr>
            <w:noProof/>
            <w:webHidden/>
          </w:rPr>
          <w:fldChar w:fldCharType="separate"/>
        </w:r>
        <w:r>
          <w:rPr>
            <w:noProof/>
            <w:webHidden/>
          </w:rPr>
          <w:t>7</w:t>
        </w:r>
        <w:r>
          <w:rPr>
            <w:noProof/>
            <w:webHidden/>
          </w:rPr>
          <w:fldChar w:fldCharType="end"/>
        </w:r>
      </w:hyperlink>
    </w:p>
    <w:p w14:paraId="0EC64052"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18" w:history="1">
        <w:r w:rsidRPr="00C87F59">
          <w:rPr>
            <w:rStyle w:val="Hyperlink"/>
            <w:noProof/>
            <w:lang w:val="ro-RO"/>
          </w:rPr>
          <w:t>Rolul profesioniștilor în democratizarea tehnologiei</w:t>
        </w:r>
        <w:r>
          <w:rPr>
            <w:noProof/>
            <w:webHidden/>
          </w:rPr>
          <w:tab/>
        </w:r>
        <w:r>
          <w:rPr>
            <w:noProof/>
            <w:webHidden/>
          </w:rPr>
          <w:fldChar w:fldCharType="begin"/>
        </w:r>
        <w:r>
          <w:rPr>
            <w:noProof/>
            <w:webHidden/>
          </w:rPr>
          <w:instrText xml:space="preserve"> PAGEREF _Toc195262218 \h </w:instrText>
        </w:r>
        <w:r>
          <w:rPr>
            <w:noProof/>
            <w:webHidden/>
          </w:rPr>
        </w:r>
        <w:r>
          <w:rPr>
            <w:noProof/>
            <w:webHidden/>
          </w:rPr>
          <w:fldChar w:fldCharType="separate"/>
        </w:r>
        <w:r>
          <w:rPr>
            <w:noProof/>
            <w:webHidden/>
          </w:rPr>
          <w:t>8</w:t>
        </w:r>
        <w:r>
          <w:rPr>
            <w:noProof/>
            <w:webHidden/>
          </w:rPr>
          <w:fldChar w:fldCharType="end"/>
        </w:r>
      </w:hyperlink>
    </w:p>
    <w:p w14:paraId="669E3E29"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19" w:history="1">
        <w:r w:rsidRPr="00C87F59">
          <w:rPr>
            <w:rStyle w:val="Hyperlink"/>
            <w:noProof/>
            <w:lang w:val="ro-RO"/>
          </w:rPr>
          <w:t>Concluzie finală:</w:t>
        </w:r>
        <w:r>
          <w:rPr>
            <w:noProof/>
            <w:webHidden/>
          </w:rPr>
          <w:tab/>
        </w:r>
        <w:r>
          <w:rPr>
            <w:noProof/>
            <w:webHidden/>
          </w:rPr>
          <w:fldChar w:fldCharType="begin"/>
        </w:r>
        <w:r>
          <w:rPr>
            <w:noProof/>
            <w:webHidden/>
          </w:rPr>
          <w:instrText xml:space="preserve"> PAGEREF _Toc195262219 \h </w:instrText>
        </w:r>
        <w:r>
          <w:rPr>
            <w:noProof/>
            <w:webHidden/>
          </w:rPr>
        </w:r>
        <w:r>
          <w:rPr>
            <w:noProof/>
            <w:webHidden/>
          </w:rPr>
          <w:fldChar w:fldCharType="separate"/>
        </w:r>
        <w:r>
          <w:rPr>
            <w:noProof/>
            <w:webHidden/>
          </w:rPr>
          <w:t>8</w:t>
        </w:r>
        <w:r>
          <w:rPr>
            <w:noProof/>
            <w:webHidden/>
          </w:rPr>
          <w:fldChar w:fldCharType="end"/>
        </w:r>
      </w:hyperlink>
    </w:p>
    <w:p w14:paraId="5FC3A9D2"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20" w:history="1">
        <w:r w:rsidRPr="00C87F59">
          <w:rPr>
            <w:rStyle w:val="Hyperlink"/>
            <w:noProof/>
            <w:lang w:val="ro-RO"/>
          </w:rPr>
          <w:t>Capitolul 3 – Nediscriminarea: cadru legal, provocări și soluții în practică</w:t>
        </w:r>
        <w:r>
          <w:rPr>
            <w:noProof/>
            <w:webHidden/>
          </w:rPr>
          <w:tab/>
        </w:r>
        <w:r>
          <w:rPr>
            <w:noProof/>
            <w:webHidden/>
          </w:rPr>
          <w:fldChar w:fldCharType="begin"/>
        </w:r>
        <w:r>
          <w:rPr>
            <w:noProof/>
            <w:webHidden/>
          </w:rPr>
          <w:instrText xml:space="preserve"> PAGEREF _Toc195262220 \h </w:instrText>
        </w:r>
        <w:r>
          <w:rPr>
            <w:noProof/>
            <w:webHidden/>
          </w:rPr>
        </w:r>
        <w:r>
          <w:rPr>
            <w:noProof/>
            <w:webHidden/>
          </w:rPr>
          <w:fldChar w:fldCharType="separate"/>
        </w:r>
        <w:r>
          <w:rPr>
            <w:noProof/>
            <w:webHidden/>
          </w:rPr>
          <w:t>9</w:t>
        </w:r>
        <w:r>
          <w:rPr>
            <w:noProof/>
            <w:webHidden/>
          </w:rPr>
          <w:fldChar w:fldCharType="end"/>
        </w:r>
      </w:hyperlink>
    </w:p>
    <w:p w14:paraId="7056D1F3" w14:textId="77777777" w:rsidR="005A494C" w:rsidRDefault="005A494C" w:rsidP="005A494C">
      <w:pPr>
        <w:pStyle w:val="TOC3"/>
        <w:tabs>
          <w:tab w:val="right" w:leader="dot" w:pos="9016"/>
        </w:tabs>
        <w:rPr>
          <w:rFonts w:eastAsiaTheme="minorEastAsia"/>
          <w:noProof/>
          <w:kern w:val="2"/>
          <w:sz w:val="24"/>
          <w:szCs w:val="24"/>
          <w:lang w:val="ro-RO" w:eastAsia="ro-RO"/>
          <w14:ligatures w14:val="standardContextual"/>
        </w:rPr>
      </w:pPr>
      <w:hyperlink w:anchor="_Toc195262221" w:history="1">
        <w:r w:rsidRPr="00C87F59">
          <w:rPr>
            <w:rStyle w:val="Hyperlink"/>
            <w:noProof/>
            <w:lang w:val="ro-RO"/>
          </w:rPr>
          <w:t>De la principiu moral la obligație legală</w:t>
        </w:r>
        <w:r>
          <w:rPr>
            <w:noProof/>
            <w:webHidden/>
          </w:rPr>
          <w:tab/>
        </w:r>
        <w:r>
          <w:rPr>
            <w:noProof/>
            <w:webHidden/>
          </w:rPr>
          <w:fldChar w:fldCharType="begin"/>
        </w:r>
        <w:r>
          <w:rPr>
            <w:noProof/>
            <w:webHidden/>
          </w:rPr>
          <w:instrText xml:space="preserve"> PAGEREF _Toc195262221 \h </w:instrText>
        </w:r>
        <w:r>
          <w:rPr>
            <w:noProof/>
            <w:webHidden/>
          </w:rPr>
        </w:r>
        <w:r>
          <w:rPr>
            <w:noProof/>
            <w:webHidden/>
          </w:rPr>
          <w:fldChar w:fldCharType="separate"/>
        </w:r>
        <w:r>
          <w:rPr>
            <w:noProof/>
            <w:webHidden/>
          </w:rPr>
          <w:t>9</w:t>
        </w:r>
        <w:r>
          <w:rPr>
            <w:noProof/>
            <w:webHidden/>
          </w:rPr>
          <w:fldChar w:fldCharType="end"/>
        </w:r>
      </w:hyperlink>
    </w:p>
    <w:p w14:paraId="4DC1505C" w14:textId="77777777" w:rsidR="005A494C" w:rsidRDefault="005A494C" w:rsidP="005A494C">
      <w:pPr>
        <w:pStyle w:val="TOC3"/>
        <w:tabs>
          <w:tab w:val="right" w:leader="dot" w:pos="9016"/>
        </w:tabs>
        <w:rPr>
          <w:rFonts w:eastAsiaTheme="minorEastAsia"/>
          <w:noProof/>
          <w:kern w:val="2"/>
          <w:sz w:val="24"/>
          <w:szCs w:val="24"/>
          <w:lang w:val="ro-RO" w:eastAsia="ro-RO"/>
          <w14:ligatures w14:val="standardContextual"/>
        </w:rPr>
      </w:pPr>
      <w:hyperlink w:anchor="_Toc195262222" w:history="1">
        <w:r w:rsidRPr="00C87F59">
          <w:rPr>
            <w:rStyle w:val="Hyperlink"/>
            <w:noProof/>
            <w:lang w:val="ro-RO"/>
          </w:rPr>
          <w:t>Tipuri de discriminare și forme ascunse</w:t>
        </w:r>
        <w:r>
          <w:rPr>
            <w:noProof/>
            <w:webHidden/>
          </w:rPr>
          <w:tab/>
        </w:r>
        <w:r>
          <w:rPr>
            <w:noProof/>
            <w:webHidden/>
          </w:rPr>
          <w:fldChar w:fldCharType="begin"/>
        </w:r>
        <w:r>
          <w:rPr>
            <w:noProof/>
            <w:webHidden/>
          </w:rPr>
          <w:instrText xml:space="preserve"> PAGEREF _Toc195262222 \h </w:instrText>
        </w:r>
        <w:r>
          <w:rPr>
            <w:noProof/>
            <w:webHidden/>
          </w:rPr>
        </w:r>
        <w:r>
          <w:rPr>
            <w:noProof/>
            <w:webHidden/>
          </w:rPr>
          <w:fldChar w:fldCharType="separate"/>
        </w:r>
        <w:r>
          <w:rPr>
            <w:noProof/>
            <w:webHidden/>
          </w:rPr>
          <w:t>9</w:t>
        </w:r>
        <w:r>
          <w:rPr>
            <w:noProof/>
            <w:webHidden/>
          </w:rPr>
          <w:fldChar w:fldCharType="end"/>
        </w:r>
      </w:hyperlink>
    </w:p>
    <w:p w14:paraId="0C34C7A5" w14:textId="77777777" w:rsidR="005A494C" w:rsidRDefault="005A494C" w:rsidP="005A494C">
      <w:pPr>
        <w:pStyle w:val="TOC3"/>
        <w:tabs>
          <w:tab w:val="right" w:leader="dot" w:pos="9016"/>
        </w:tabs>
        <w:rPr>
          <w:rFonts w:eastAsiaTheme="minorEastAsia"/>
          <w:noProof/>
          <w:kern w:val="2"/>
          <w:sz w:val="24"/>
          <w:szCs w:val="24"/>
          <w:lang w:val="ro-RO" w:eastAsia="ro-RO"/>
          <w14:ligatures w14:val="standardContextual"/>
        </w:rPr>
      </w:pPr>
      <w:hyperlink w:anchor="_Toc195262223" w:history="1">
        <w:r w:rsidRPr="00C87F59">
          <w:rPr>
            <w:rStyle w:val="Hyperlink"/>
            <w:noProof/>
            <w:lang w:val="ro-RO"/>
          </w:rPr>
          <w:t>Impactul discriminării în viața profesională și socială</w:t>
        </w:r>
        <w:r>
          <w:rPr>
            <w:noProof/>
            <w:webHidden/>
          </w:rPr>
          <w:tab/>
        </w:r>
        <w:r>
          <w:rPr>
            <w:noProof/>
            <w:webHidden/>
          </w:rPr>
          <w:fldChar w:fldCharType="begin"/>
        </w:r>
        <w:r>
          <w:rPr>
            <w:noProof/>
            <w:webHidden/>
          </w:rPr>
          <w:instrText xml:space="preserve"> PAGEREF _Toc195262223 \h </w:instrText>
        </w:r>
        <w:r>
          <w:rPr>
            <w:noProof/>
            <w:webHidden/>
          </w:rPr>
        </w:r>
        <w:r>
          <w:rPr>
            <w:noProof/>
            <w:webHidden/>
          </w:rPr>
          <w:fldChar w:fldCharType="separate"/>
        </w:r>
        <w:r>
          <w:rPr>
            <w:noProof/>
            <w:webHidden/>
          </w:rPr>
          <w:t>10</w:t>
        </w:r>
        <w:r>
          <w:rPr>
            <w:noProof/>
            <w:webHidden/>
          </w:rPr>
          <w:fldChar w:fldCharType="end"/>
        </w:r>
      </w:hyperlink>
    </w:p>
    <w:p w14:paraId="5FDBBFD5" w14:textId="77777777" w:rsidR="005A494C" w:rsidRDefault="005A494C" w:rsidP="005A494C">
      <w:pPr>
        <w:pStyle w:val="TOC3"/>
        <w:tabs>
          <w:tab w:val="right" w:leader="dot" w:pos="9016"/>
        </w:tabs>
        <w:rPr>
          <w:rFonts w:eastAsiaTheme="minorEastAsia"/>
          <w:noProof/>
          <w:kern w:val="2"/>
          <w:sz w:val="24"/>
          <w:szCs w:val="24"/>
          <w:lang w:val="ro-RO" w:eastAsia="ro-RO"/>
          <w14:ligatures w14:val="standardContextual"/>
        </w:rPr>
      </w:pPr>
      <w:hyperlink w:anchor="_Toc195262224" w:history="1">
        <w:r w:rsidRPr="00C87F59">
          <w:rPr>
            <w:rStyle w:val="Hyperlink"/>
            <w:noProof/>
            <w:lang w:val="ro-RO"/>
          </w:rPr>
          <w:t>Mecanisme de prevenire și combatere</w:t>
        </w:r>
        <w:r>
          <w:rPr>
            <w:noProof/>
            <w:webHidden/>
          </w:rPr>
          <w:tab/>
        </w:r>
        <w:r>
          <w:rPr>
            <w:noProof/>
            <w:webHidden/>
          </w:rPr>
          <w:fldChar w:fldCharType="begin"/>
        </w:r>
        <w:r>
          <w:rPr>
            <w:noProof/>
            <w:webHidden/>
          </w:rPr>
          <w:instrText xml:space="preserve"> PAGEREF _Toc195262224 \h </w:instrText>
        </w:r>
        <w:r>
          <w:rPr>
            <w:noProof/>
            <w:webHidden/>
          </w:rPr>
        </w:r>
        <w:r>
          <w:rPr>
            <w:noProof/>
            <w:webHidden/>
          </w:rPr>
          <w:fldChar w:fldCharType="separate"/>
        </w:r>
        <w:r>
          <w:rPr>
            <w:noProof/>
            <w:webHidden/>
          </w:rPr>
          <w:t>10</w:t>
        </w:r>
        <w:r>
          <w:rPr>
            <w:noProof/>
            <w:webHidden/>
          </w:rPr>
          <w:fldChar w:fldCharType="end"/>
        </w:r>
      </w:hyperlink>
    </w:p>
    <w:p w14:paraId="0C5B45BE" w14:textId="77777777" w:rsidR="005A494C" w:rsidRDefault="005A494C" w:rsidP="005A494C">
      <w:pPr>
        <w:pStyle w:val="TOC3"/>
        <w:tabs>
          <w:tab w:val="right" w:leader="dot" w:pos="9016"/>
        </w:tabs>
        <w:rPr>
          <w:rFonts w:eastAsiaTheme="minorEastAsia"/>
          <w:noProof/>
          <w:kern w:val="2"/>
          <w:sz w:val="24"/>
          <w:szCs w:val="24"/>
          <w:lang w:val="ro-RO" w:eastAsia="ro-RO"/>
          <w14:ligatures w14:val="standardContextual"/>
        </w:rPr>
      </w:pPr>
      <w:hyperlink w:anchor="_Toc195262225" w:history="1">
        <w:r w:rsidRPr="00C87F59">
          <w:rPr>
            <w:rStyle w:val="Hyperlink"/>
            <w:noProof/>
            <w:lang w:val="ro-RO"/>
          </w:rPr>
          <w:t>Provocări actuale în promovarea nediscriminării</w:t>
        </w:r>
        <w:r>
          <w:rPr>
            <w:noProof/>
            <w:webHidden/>
          </w:rPr>
          <w:tab/>
        </w:r>
        <w:r>
          <w:rPr>
            <w:noProof/>
            <w:webHidden/>
          </w:rPr>
          <w:fldChar w:fldCharType="begin"/>
        </w:r>
        <w:r>
          <w:rPr>
            <w:noProof/>
            <w:webHidden/>
          </w:rPr>
          <w:instrText xml:space="preserve"> PAGEREF _Toc195262225 \h </w:instrText>
        </w:r>
        <w:r>
          <w:rPr>
            <w:noProof/>
            <w:webHidden/>
          </w:rPr>
        </w:r>
        <w:r>
          <w:rPr>
            <w:noProof/>
            <w:webHidden/>
          </w:rPr>
          <w:fldChar w:fldCharType="separate"/>
        </w:r>
        <w:r>
          <w:rPr>
            <w:noProof/>
            <w:webHidden/>
          </w:rPr>
          <w:t>11</w:t>
        </w:r>
        <w:r>
          <w:rPr>
            <w:noProof/>
            <w:webHidden/>
          </w:rPr>
          <w:fldChar w:fldCharType="end"/>
        </w:r>
      </w:hyperlink>
    </w:p>
    <w:p w14:paraId="248F4B10" w14:textId="77777777" w:rsidR="005A494C" w:rsidRDefault="005A494C" w:rsidP="005A494C">
      <w:pPr>
        <w:pStyle w:val="TOC3"/>
        <w:tabs>
          <w:tab w:val="right" w:leader="dot" w:pos="9016"/>
        </w:tabs>
        <w:rPr>
          <w:rFonts w:eastAsiaTheme="minorEastAsia"/>
          <w:noProof/>
          <w:kern w:val="2"/>
          <w:sz w:val="24"/>
          <w:szCs w:val="24"/>
          <w:lang w:val="ro-RO" w:eastAsia="ro-RO"/>
          <w14:ligatures w14:val="standardContextual"/>
        </w:rPr>
      </w:pPr>
      <w:hyperlink w:anchor="_Toc195262226" w:history="1">
        <w:r w:rsidRPr="00C87F59">
          <w:rPr>
            <w:rStyle w:val="Hyperlink"/>
            <w:noProof/>
            <w:lang w:val="ro-RO"/>
          </w:rPr>
          <w:t>Rolul profesioniștilor în crearea unei culturi a echității</w:t>
        </w:r>
        <w:r>
          <w:rPr>
            <w:noProof/>
            <w:webHidden/>
          </w:rPr>
          <w:tab/>
        </w:r>
        <w:r>
          <w:rPr>
            <w:noProof/>
            <w:webHidden/>
          </w:rPr>
          <w:fldChar w:fldCharType="begin"/>
        </w:r>
        <w:r>
          <w:rPr>
            <w:noProof/>
            <w:webHidden/>
          </w:rPr>
          <w:instrText xml:space="preserve"> PAGEREF _Toc195262226 \h </w:instrText>
        </w:r>
        <w:r>
          <w:rPr>
            <w:noProof/>
            <w:webHidden/>
          </w:rPr>
        </w:r>
        <w:r>
          <w:rPr>
            <w:noProof/>
            <w:webHidden/>
          </w:rPr>
          <w:fldChar w:fldCharType="separate"/>
        </w:r>
        <w:r>
          <w:rPr>
            <w:noProof/>
            <w:webHidden/>
          </w:rPr>
          <w:t>11</w:t>
        </w:r>
        <w:r>
          <w:rPr>
            <w:noProof/>
            <w:webHidden/>
          </w:rPr>
          <w:fldChar w:fldCharType="end"/>
        </w:r>
      </w:hyperlink>
    </w:p>
    <w:p w14:paraId="283F71C4"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27" w:history="1">
        <w:r w:rsidRPr="00C87F59">
          <w:rPr>
            <w:rStyle w:val="Hyperlink"/>
            <w:noProof/>
            <w:lang w:val="ro-RO"/>
          </w:rPr>
          <w:t>Concluzie finală:</w:t>
        </w:r>
        <w:r>
          <w:rPr>
            <w:noProof/>
            <w:webHidden/>
          </w:rPr>
          <w:tab/>
        </w:r>
        <w:r>
          <w:rPr>
            <w:noProof/>
            <w:webHidden/>
          </w:rPr>
          <w:fldChar w:fldCharType="begin"/>
        </w:r>
        <w:r>
          <w:rPr>
            <w:noProof/>
            <w:webHidden/>
          </w:rPr>
          <w:instrText xml:space="preserve"> PAGEREF _Toc195262227 \h </w:instrText>
        </w:r>
        <w:r>
          <w:rPr>
            <w:noProof/>
            <w:webHidden/>
          </w:rPr>
        </w:r>
        <w:r>
          <w:rPr>
            <w:noProof/>
            <w:webHidden/>
          </w:rPr>
          <w:fldChar w:fldCharType="separate"/>
        </w:r>
        <w:r>
          <w:rPr>
            <w:noProof/>
            <w:webHidden/>
          </w:rPr>
          <w:t>11</w:t>
        </w:r>
        <w:r>
          <w:rPr>
            <w:noProof/>
            <w:webHidden/>
          </w:rPr>
          <w:fldChar w:fldCharType="end"/>
        </w:r>
      </w:hyperlink>
    </w:p>
    <w:p w14:paraId="24FC3496" w14:textId="77777777" w:rsidR="005A494C" w:rsidRDefault="005A494C" w:rsidP="005A494C">
      <w:pPr>
        <w:pStyle w:val="TOC2"/>
        <w:tabs>
          <w:tab w:val="right" w:leader="dot" w:pos="9016"/>
        </w:tabs>
        <w:rPr>
          <w:rFonts w:eastAsiaTheme="minorEastAsia"/>
          <w:noProof/>
          <w:kern w:val="2"/>
          <w:sz w:val="24"/>
          <w:szCs w:val="24"/>
          <w:lang w:val="ro-RO" w:eastAsia="ro-RO"/>
          <w14:ligatures w14:val="standardContextual"/>
        </w:rPr>
      </w:pPr>
      <w:hyperlink w:anchor="_Toc195262228" w:history="1">
        <w:r w:rsidRPr="00C87F59">
          <w:rPr>
            <w:rStyle w:val="Hyperlink"/>
            <w:noProof/>
            <w:lang w:val="ro-RO"/>
          </w:rPr>
          <w:t>Concluzii finale</w:t>
        </w:r>
        <w:r>
          <w:rPr>
            <w:noProof/>
            <w:webHidden/>
          </w:rPr>
          <w:tab/>
        </w:r>
        <w:r>
          <w:rPr>
            <w:noProof/>
            <w:webHidden/>
          </w:rPr>
          <w:fldChar w:fldCharType="begin"/>
        </w:r>
        <w:r>
          <w:rPr>
            <w:noProof/>
            <w:webHidden/>
          </w:rPr>
          <w:instrText xml:space="preserve"> PAGEREF _Toc195262228 \h </w:instrText>
        </w:r>
        <w:r>
          <w:rPr>
            <w:noProof/>
            <w:webHidden/>
          </w:rPr>
        </w:r>
        <w:r>
          <w:rPr>
            <w:noProof/>
            <w:webHidden/>
          </w:rPr>
          <w:fldChar w:fldCharType="separate"/>
        </w:r>
        <w:r>
          <w:rPr>
            <w:noProof/>
            <w:webHidden/>
          </w:rPr>
          <w:t>12</w:t>
        </w:r>
        <w:r>
          <w:rPr>
            <w:noProof/>
            <w:webHidden/>
          </w:rPr>
          <w:fldChar w:fldCharType="end"/>
        </w:r>
      </w:hyperlink>
    </w:p>
    <w:p w14:paraId="7A7A23CC" w14:textId="77777777" w:rsidR="005A494C" w:rsidRDefault="005A494C" w:rsidP="005A494C">
      <w:r>
        <w:fldChar w:fldCharType="end"/>
      </w:r>
    </w:p>
    <w:p w14:paraId="3ABC49FD" w14:textId="77777777" w:rsidR="005A494C" w:rsidRDefault="005A494C" w:rsidP="005A494C"/>
    <w:p w14:paraId="646F3292" w14:textId="77777777" w:rsidR="005A494C" w:rsidRDefault="005A494C" w:rsidP="005A494C"/>
    <w:p w14:paraId="18F3E5B4" w14:textId="77777777" w:rsidR="005A494C" w:rsidRDefault="005A494C" w:rsidP="005A494C"/>
    <w:p w14:paraId="5FBFFBFC" w14:textId="77777777" w:rsidR="005A494C" w:rsidRDefault="005A494C" w:rsidP="005A494C"/>
    <w:p w14:paraId="337AEE3A" w14:textId="77777777" w:rsidR="005A494C" w:rsidRDefault="005A494C" w:rsidP="005A494C"/>
    <w:p w14:paraId="0E11F274" w14:textId="77777777" w:rsidR="005A494C" w:rsidRPr="008A72AC" w:rsidRDefault="005A494C" w:rsidP="005A494C">
      <w:pPr>
        <w:pStyle w:val="Heading1"/>
        <w:rPr>
          <w:lang w:val="ro-RO"/>
        </w:rPr>
      </w:pPr>
      <w:bookmarkStart w:id="1" w:name="_Toc195262204"/>
      <w:r w:rsidRPr="008A72AC">
        <w:rPr>
          <w:lang w:val="ro-RO"/>
        </w:rPr>
        <w:t>Introducere</w:t>
      </w:r>
      <w:bookmarkEnd w:id="1"/>
    </w:p>
    <w:p w14:paraId="618EF546" w14:textId="77777777" w:rsidR="005A494C" w:rsidRPr="008A72AC" w:rsidRDefault="005A494C" w:rsidP="005A494C">
      <w:r w:rsidRPr="008A72AC">
        <w:t>Societatea contemporană se confruntă cu transformări accelerate și adesea contradictorii – inovații tehnologice fără precedent, crize sociale persistente, tranziții ecologice dificile, dar și o diversitate umană tot mai vizibilă și revendicativă. În acest context, profesioniștii – indiferent de domeniul în care activează – sunt tot mai des provocați să găsească soluții flexibile, inclusive și sustenabile, care să răspundă nevoilor reale ale comunităților.</w:t>
      </w:r>
    </w:p>
    <w:p w14:paraId="446473EB" w14:textId="77777777" w:rsidR="005A494C" w:rsidRPr="008A72AC" w:rsidRDefault="005A494C" w:rsidP="005A494C">
      <w:r w:rsidRPr="008A72AC">
        <w:t>Acest material a fost conceput pentru a oferi o perspectivă integrată asupra a trei teme esențiale pentru dezvoltarea unei societăți echitabile și inovatoare:</w:t>
      </w:r>
      <w:r w:rsidRPr="008A72AC">
        <w:br/>
      </w:r>
      <w:r w:rsidRPr="008A72AC">
        <w:rPr>
          <w:rFonts w:ascii="Segoe UI Emoji" w:hAnsi="Segoe UI Emoji" w:cs="Segoe UI Emoji"/>
        </w:rPr>
        <w:t>🔹</w:t>
      </w:r>
      <w:r w:rsidRPr="008A72AC">
        <w:t xml:space="preserve"> </w:t>
      </w:r>
      <w:r w:rsidRPr="008A72AC">
        <w:rPr>
          <w:i/>
          <w:iCs/>
        </w:rPr>
        <w:t>inovarea socială</w:t>
      </w:r>
      <w:r w:rsidRPr="008A72AC">
        <w:t>,</w:t>
      </w:r>
      <w:r w:rsidRPr="008A72AC">
        <w:br/>
      </w:r>
      <w:r w:rsidRPr="008A72AC">
        <w:rPr>
          <w:rFonts w:ascii="Segoe UI Emoji" w:hAnsi="Segoe UI Emoji" w:cs="Segoe UI Emoji"/>
        </w:rPr>
        <w:t>🔹</w:t>
      </w:r>
      <w:r w:rsidRPr="008A72AC">
        <w:t xml:space="preserve"> </w:t>
      </w:r>
      <w:r w:rsidRPr="008A72AC">
        <w:rPr>
          <w:i/>
          <w:iCs/>
        </w:rPr>
        <w:t>accesibilitatea și calitatea TIC</w:t>
      </w:r>
      <w:r w:rsidRPr="008A72AC">
        <w:t>,</w:t>
      </w:r>
      <w:r w:rsidRPr="008A72AC">
        <w:br/>
      </w:r>
      <w:r w:rsidRPr="008A72AC">
        <w:rPr>
          <w:rFonts w:ascii="Segoe UI Emoji" w:hAnsi="Segoe UI Emoji" w:cs="Segoe UI Emoji"/>
        </w:rPr>
        <w:t>🔹</w:t>
      </w:r>
      <w:r w:rsidRPr="008A72AC">
        <w:t xml:space="preserve"> </w:t>
      </w:r>
      <w:r w:rsidRPr="008A72AC">
        <w:rPr>
          <w:i/>
          <w:iCs/>
        </w:rPr>
        <w:t>nediscriminarea</w:t>
      </w:r>
      <w:r w:rsidRPr="008A72AC">
        <w:t>.</w:t>
      </w:r>
    </w:p>
    <w:p w14:paraId="5CBFD104" w14:textId="77777777" w:rsidR="005A494C" w:rsidRPr="008A72AC" w:rsidRDefault="005A494C" w:rsidP="005A494C">
      <w:r w:rsidRPr="008A72AC">
        <w:t>Aceste teme nu sunt independente, ci profund interconectate. Inovația socială are nevoie de instrumente digitale accesibile și etice pentru a-și maximiza impactul. La rândul lor, tehnologiile trebuie proiectate și utilizate în mod responsabil, astfel încât să nu amplifice discriminările existente. Iar echitatea și incluziunea nu pot fi atinse decât printr-o abordare sistemică, centrată pe oameni, nu pe structuri.</w:t>
      </w:r>
    </w:p>
    <w:p w14:paraId="45C26DB4" w14:textId="77777777" w:rsidR="005A494C" w:rsidRPr="008A72AC" w:rsidRDefault="005A494C" w:rsidP="005A494C">
      <w:r w:rsidRPr="008A72AC">
        <w:t xml:space="preserve">Materialul se adresează </w:t>
      </w:r>
      <w:r w:rsidRPr="008A72AC">
        <w:rPr>
          <w:b/>
          <w:bCs/>
        </w:rPr>
        <w:t>profesioniștilor din educație, administrație, ONG-uri, sănătate, antreprenoriat social și alte domenii conexe</w:t>
      </w:r>
      <w:r w:rsidRPr="008A72AC">
        <w:t>, care doresc să aprofundeze aceste concepte, să înțeleagă rolul lor transformator și să le aplice în mod concret în activitatea lor zilnică.</w:t>
      </w:r>
    </w:p>
    <w:p w14:paraId="4EF777C5" w14:textId="77777777" w:rsidR="005A494C" w:rsidRPr="008A72AC" w:rsidRDefault="005A494C" w:rsidP="005A494C">
      <w:r w:rsidRPr="008A72AC">
        <w:t>Prin exemple practice, analize critice și direcții strategice, fiecare capitol își propune să devină nu doar o sursă de informare, ci un punct de pornire pentru acțiune și reflecție.</w:t>
      </w:r>
    </w:p>
    <w:p w14:paraId="06BA9131" w14:textId="77777777" w:rsidR="005A494C" w:rsidRDefault="005A494C" w:rsidP="005A494C"/>
    <w:p w14:paraId="3E60C95C" w14:textId="77777777" w:rsidR="005A494C" w:rsidRDefault="005A494C" w:rsidP="005A494C"/>
    <w:p w14:paraId="2219AFFB" w14:textId="77777777" w:rsidR="005A494C" w:rsidRDefault="005A494C" w:rsidP="005A494C"/>
    <w:p w14:paraId="4E80F6B1" w14:textId="77777777" w:rsidR="005A494C" w:rsidRDefault="005A494C" w:rsidP="005A494C"/>
    <w:p w14:paraId="4484BB38" w14:textId="77777777" w:rsidR="005A494C" w:rsidRDefault="005A494C" w:rsidP="005A494C"/>
    <w:p w14:paraId="330F21CB" w14:textId="77777777" w:rsidR="005A494C" w:rsidRDefault="005A494C" w:rsidP="005A494C"/>
    <w:p w14:paraId="66904967" w14:textId="77777777" w:rsidR="005A494C" w:rsidRDefault="005A494C" w:rsidP="005A494C"/>
    <w:p w14:paraId="561D8A5B" w14:textId="77777777" w:rsidR="005A494C" w:rsidRDefault="005A494C" w:rsidP="005A494C"/>
    <w:p w14:paraId="4651B706" w14:textId="77777777" w:rsidR="005A494C" w:rsidRPr="00C031EE" w:rsidRDefault="005A494C" w:rsidP="005A494C">
      <w:pPr>
        <w:pStyle w:val="Heading1"/>
        <w:rPr>
          <w:lang w:val="ro-RO"/>
        </w:rPr>
      </w:pPr>
      <w:bookmarkStart w:id="2" w:name="_Toc195262205"/>
      <w:r w:rsidRPr="00C031EE">
        <w:rPr>
          <w:lang w:val="ro-RO"/>
        </w:rPr>
        <w:t>Capitolul 1 – Inovarea socială: motorul transformării comunităților</w:t>
      </w:r>
      <w:bookmarkEnd w:id="2"/>
    </w:p>
    <w:p w14:paraId="47E74595" w14:textId="77777777" w:rsidR="005A494C" w:rsidRPr="00C031EE" w:rsidRDefault="005A494C" w:rsidP="005A494C">
      <w:r w:rsidRPr="00C031EE">
        <w:t>Inovarea socială este un concept tot mai prezent în strategiile europene, în literatura de specialitate și în discursurile organizațiilor internaționale, fiind percepută ca o necesitate pentru adaptarea societăților la provocările actuale. Deși relativ recent formalizată ca noțiune distinctă, inovația socială are rădăcini adânci în istoria mișcărilor sociale și în inițiativele civice care, de-a lungul timpului, au modelat moduri noi de a răspunde la nevoi sociale emergente.</w:t>
      </w:r>
    </w:p>
    <w:p w14:paraId="0E654E42" w14:textId="77777777" w:rsidR="005A494C" w:rsidRPr="00C031EE" w:rsidRDefault="005A494C" w:rsidP="005A494C">
      <w:pPr>
        <w:pStyle w:val="Heading2"/>
        <w:rPr>
          <w:lang w:val="ro-RO"/>
        </w:rPr>
      </w:pPr>
      <w:bookmarkStart w:id="3" w:name="_Toc195262206"/>
      <w:r w:rsidRPr="00C031EE">
        <w:rPr>
          <w:lang w:val="ro-RO"/>
        </w:rPr>
        <w:t>Inovarea socială – o abordare complexă și transversală</w:t>
      </w:r>
      <w:bookmarkEnd w:id="3"/>
    </w:p>
    <w:p w14:paraId="5F77E762" w14:textId="77777777" w:rsidR="005A494C" w:rsidRPr="00C031EE" w:rsidRDefault="005A494C" w:rsidP="005A494C">
      <w:r w:rsidRPr="00C031EE">
        <w:t xml:space="preserve">În esență, inovația socială reprezintă dezvoltarea și implementarea de idei noi – fie ele servicii, produse, modele de organizare sau politici – care răspund într-un mod mai eficient și sustenabil la nevoile sociale față de soluțiile tradiționale. Spre deosebire de inovația tehnologică, al cărei succes se măsoară de regulă în eficiență economică, inovația socială se judecă în funcție de </w:t>
      </w:r>
      <w:r w:rsidRPr="00C031EE">
        <w:rPr>
          <w:b/>
          <w:bCs/>
        </w:rPr>
        <w:t>impactul pozitiv creat asupra indivizilor, comunităților și relațiilor sociale</w:t>
      </w:r>
      <w:r w:rsidRPr="00C031EE">
        <w:t>.</w:t>
      </w:r>
    </w:p>
    <w:p w14:paraId="15F4774A" w14:textId="77777777" w:rsidR="005A494C" w:rsidRPr="00C031EE" w:rsidRDefault="005A494C" w:rsidP="005A494C">
      <w:r w:rsidRPr="00C031EE">
        <w:t>Aceasta se caracterizează prin:</w:t>
      </w:r>
    </w:p>
    <w:p w14:paraId="5E911FCF" w14:textId="77777777" w:rsidR="005A494C" w:rsidRPr="00C031EE" w:rsidRDefault="005A494C" w:rsidP="005A494C">
      <w:pPr>
        <w:numPr>
          <w:ilvl w:val="0"/>
          <w:numId w:val="10"/>
        </w:numPr>
        <w:spacing w:after="160" w:line="259" w:lineRule="auto"/>
      </w:pPr>
      <w:r w:rsidRPr="00C031EE">
        <w:rPr>
          <w:b/>
          <w:bCs/>
        </w:rPr>
        <w:t>caracter participativ</w:t>
      </w:r>
      <w:r w:rsidRPr="00C031EE">
        <w:t xml:space="preserve"> – implică actorii afectați în procesul de co-creare a soluțiilor;</w:t>
      </w:r>
    </w:p>
    <w:p w14:paraId="007E1E72" w14:textId="77777777" w:rsidR="005A494C" w:rsidRPr="00C031EE" w:rsidRDefault="005A494C" w:rsidP="005A494C">
      <w:pPr>
        <w:numPr>
          <w:ilvl w:val="0"/>
          <w:numId w:val="10"/>
        </w:numPr>
        <w:spacing w:after="160" w:line="259" w:lineRule="auto"/>
      </w:pPr>
      <w:r w:rsidRPr="00C031EE">
        <w:rPr>
          <w:b/>
          <w:bCs/>
        </w:rPr>
        <w:t>orientare spre incluziune socială și echitate</w:t>
      </w:r>
      <w:r w:rsidRPr="00C031EE">
        <w:t>;</w:t>
      </w:r>
    </w:p>
    <w:p w14:paraId="0162B184" w14:textId="77777777" w:rsidR="005A494C" w:rsidRPr="00C031EE" w:rsidRDefault="005A494C" w:rsidP="005A494C">
      <w:pPr>
        <w:numPr>
          <w:ilvl w:val="0"/>
          <w:numId w:val="10"/>
        </w:numPr>
        <w:spacing w:after="160" w:line="259" w:lineRule="auto"/>
      </w:pPr>
      <w:r w:rsidRPr="00C031EE">
        <w:rPr>
          <w:b/>
          <w:bCs/>
        </w:rPr>
        <w:t>capacitatea de a regenera capitalul social și încrederea între cetățeni și instituții</w:t>
      </w:r>
      <w:r w:rsidRPr="00C031EE">
        <w:t>;</w:t>
      </w:r>
    </w:p>
    <w:p w14:paraId="4240CDFA" w14:textId="77777777" w:rsidR="005A494C" w:rsidRPr="00C031EE" w:rsidRDefault="005A494C" w:rsidP="005A494C">
      <w:pPr>
        <w:numPr>
          <w:ilvl w:val="0"/>
          <w:numId w:val="10"/>
        </w:numPr>
        <w:spacing w:after="160" w:line="259" w:lineRule="auto"/>
      </w:pPr>
      <w:r w:rsidRPr="00C031EE">
        <w:rPr>
          <w:b/>
          <w:bCs/>
        </w:rPr>
        <w:t>potențial de scalare și replicare</w:t>
      </w:r>
      <w:r w:rsidRPr="00C031EE">
        <w:t xml:space="preserve"> în alte comunități sau contexte.</w:t>
      </w:r>
    </w:p>
    <w:p w14:paraId="4B2AB790" w14:textId="77777777" w:rsidR="005A494C" w:rsidRPr="00C031EE" w:rsidRDefault="005A494C" w:rsidP="005A494C">
      <w:r w:rsidRPr="00C031EE">
        <w:t xml:space="preserve">Inovația socială este, așadar, mai mult decât o soluție punctuală – este o </w:t>
      </w:r>
      <w:r w:rsidRPr="00C031EE">
        <w:rPr>
          <w:b/>
          <w:bCs/>
        </w:rPr>
        <w:t>schimbare de paradigmă</w:t>
      </w:r>
      <w:r w:rsidRPr="00C031EE">
        <w:t>, care mută centrul de greutate al intervenției sociale de la „asistență” la „empowerment”, de la centralism la colaborare locală.</w:t>
      </w:r>
    </w:p>
    <w:p w14:paraId="40D0E255" w14:textId="77777777" w:rsidR="005A494C" w:rsidRPr="00C031EE" w:rsidRDefault="005A494C" w:rsidP="005A494C">
      <w:pPr>
        <w:pStyle w:val="Heading2"/>
        <w:rPr>
          <w:lang w:val="ro-RO"/>
        </w:rPr>
      </w:pPr>
      <w:bookmarkStart w:id="4" w:name="_Toc195262207"/>
      <w:r w:rsidRPr="00C031EE">
        <w:rPr>
          <w:lang w:val="ro-RO"/>
        </w:rPr>
        <w:t>Contextul european și recunoașterea instituțională</w:t>
      </w:r>
      <w:bookmarkEnd w:id="4"/>
    </w:p>
    <w:p w14:paraId="2887BA9C" w14:textId="77777777" w:rsidR="005A494C" w:rsidRPr="00C031EE" w:rsidRDefault="005A494C" w:rsidP="005A494C">
      <w:r w:rsidRPr="00C031EE">
        <w:t>Începând cu anii 2010, Uniunea Europeană a început să investească tot mai mult în promovarea inovării sociale, integrând-o în programe precum Horizon 2020, FSE+, EaSI (Employment and Social Innovation) sau în inițiativele legate de economia socială și circulară.</w:t>
      </w:r>
    </w:p>
    <w:p w14:paraId="7A0EC371" w14:textId="77777777" w:rsidR="005A494C" w:rsidRPr="00C031EE" w:rsidRDefault="005A494C" w:rsidP="005A494C">
      <w:r w:rsidRPr="00C031EE">
        <w:t xml:space="preserve">Documente strategice-cheie, precum </w:t>
      </w:r>
      <w:r w:rsidRPr="00C031EE">
        <w:rPr>
          <w:b/>
          <w:bCs/>
        </w:rPr>
        <w:t>Strategia Europa 2020</w:t>
      </w:r>
      <w:r w:rsidRPr="00C031EE">
        <w:t xml:space="preserve"> sau </w:t>
      </w:r>
      <w:r w:rsidRPr="00C031EE">
        <w:rPr>
          <w:b/>
          <w:bCs/>
        </w:rPr>
        <w:t>Planul de Acțiune pentru Economia Socială (2021)</w:t>
      </w:r>
      <w:r w:rsidRPr="00C031EE">
        <w:t xml:space="preserve">, subliniază clar importanța soluțiilor sociale inovatoare pentru creșterea incluziunii, </w:t>
      </w:r>
      <w:r w:rsidRPr="00C031EE">
        <w:lastRenderedPageBreak/>
        <w:t>reducerea inegalităților și adaptarea serviciilor sociale la transformările tehnologice, demografice și climatice.</w:t>
      </w:r>
    </w:p>
    <w:p w14:paraId="236CBEEA" w14:textId="77777777" w:rsidR="005A494C" w:rsidRPr="00C031EE" w:rsidRDefault="005A494C" w:rsidP="005A494C">
      <w:r w:rsidRPr="00C031EE">
        <w:t>De asemenea, conceptul a fost formalizat în cadrul unor inițiative precum:</w:t>
      </w:r>
    </w:p>
    <w:p w14:paraId="1DE4CA09" w14:textId="77777777" w:rsidR="005A494C" w:rsidRPr="00C031EE" w:rsidRDefault="005A494C" w:rsidP="005A494C">
      <w:pPr>
        <w:numPr>
          <w:ilvl w:val="0"/>
          <w:numId w:val="11"/>
        </w:numPr>
        <w:spacing w:after="160" w:line="259" w:lineRule="auto"/>
      </w:pPr>
      <w:r w:rsidRPr="00C031EE">
        <w:rPr>
          <w:i/>
          <w:iCs/>
        </w:rPr>
        <w:t>SIE – Social Innovation Europe Platform</w:t>
      </w:r>
      <w:r w:rsidRPr="00C031EE">
        <w:t>, o rețea pan-europeană dedicată schimbului de bune practici;</w:t>
      </w:r>
    </w:p>
    <w:p w14:paraId="6D27897E" w14:textId="77777777" w:rsidR="005A494C" w:rsidRPr="00C031EE" w:rsidRDefault="005A494C" w:rsidP="005A494C">
      <w:pPr>
        <w:numPr>
          <w:ilvl w:val="0"/>
          <w:numId w:val="11"/>
        </w:numPr>
        <w:spacing w:after="160" w:line="259" w:lineRule="auto"/>
      </w:pPr>
      <w:r w:rsidRPr="00C031EE">
        <w:rPr>
          <w:i/>
          <w:iCs/>
        </w:rPr>
        <w:t>European Social Innovation Competition</w:t>
      </w:r>
      <w:r w:rsidRPr="00C031EE">
        <w:t>, care premiază anual cele mai promițătoare idei de impact;</w:t>
      </w:r>
    </w:p>
    <w:p w14:paraId="20D298E4" w14:textId="77777777" w:rsidR="005A494C" w:rsidRPr="00C031EE" w:rsidRDefault="005A494C" w:rsidP="005A494C">
      <w:pPr>
        <w:numPr>
          <w:ilvl w:val="0"/>
          <w:numId w:val="11"/>
        </w:numPr>
        <w:spacing w:after="160" w:line="259" w:lineRule="auto"/>
      </w:pPr>
      <w:r w:rsidRPr="00C031EE">
        <w:rPr>
          <w:i/>
          <w:iCs/>
        </w:rPr>
        <w:t>OECD Observatory of Public Sector Innovation</w:t>
      </w:r>
      <w:r w:rsidRPr="00C031EE">
        <w:t>, care documentează modul în care guvernele adoptă metode de inovare socială.</w:t>
      </w:r>
    </w:p>
    <w:p w14:paraId="4A402EE1" w14:textId="77777777" w:rsidR="005A494C" w:rsidRPr="00C031EE" w:rsidRDefault="005A494C" w:rsidP="005A494C">
      <w:r w:rsidRPr="00C031EE">
        <w:t xml:space="preserve">Astfel, se conturează tot mai clar ideea că inovarea socială nu este doar apanajul sectorului neguvernamental sau civic, ci devine un instrument strategic al </w:t>
      </w:r>
      <w:r w:rsidRPr="00C031EE">
        <w:rPr>
          <w:b/>
          <w:bCs/>
        </w:rPr>
        <w:t>administrațiilor publice moderne</w:t>
      </w:r>
      <w:r w:rsidRPr="00C031EE">
        <w:t xml:space="preserve"> și al organizațiilor care își doresc să creeze o societate mai incluzivă.</w:t>
      </w:r>
    </w:p>
    <w:p w14:paraId="1B535597" w14:textId="77777777" w:rsidR="005A494C" w:rsidRPr="00C031EE" w:rsidRDefault="005A494C" w:rsidP="005A494C">
      <w:pPr>
        <w:pStyle w:val="Heading2"/>
        <w:rPr>
          <w:lang w:val="ro-RO"/>
        </w:rPr>
      </w:pPr>
      <w:bookmarkStart w:id="5" w:name="_Toc195262208"/>
      <w:r w:rsidRPr="00C031EE">
        <w:rPr>
          <w:lang w:val="ro-RO"/>
        </w:rPr>
        <w:t>Dimensiunea practică – cum arată inovația socială pe teren</w:t>
      </w:r>
      <w:bookmarkEnd w:id="5"/>
    </w:p>
    <w:p w14:paraId="67075240" w14:textId="77777777" w:rsidR="005A494C" w:rsidRPr="00C031EE" w:rsidRDefault="005A494C" w:rsidP="005A494C">
      <w:r w:rsidRPr="00C031EE">
        <w:t>Inovația socială nu este un concept teoretic abstract – ea prinde viață în mii de inițiative din toată Europa, în comunități marginalizate sau în zone urbane în tranziție, în organizații mici sau în parteneriate de anvergură.</w:t>
      </w:r>
    </w:p>
    <w:p w14:paraId="1EEB5DA2" w14:textId="77777777" w:rsidR="005A494C" w:rsidRPr="00C031EE" w:rsidRDefault="005A494C" w:rsidP="005A494C">
      <w:r w:rsidRPr="00C031EE">
        <w:t>În România, avem exemple notabile:</w:t>
      </w:r>
    </w:p>
    <w:p w14:paraId="4673D768" w14:textId="77777777" w:rsidR="005A494C" w:rsidRPr="00C031EE" w:rsidRDefault="005A494C" w:rsidP="005A494C">
      <w:pPr>
        <w:numPr>
          <w:ilvl w:val="0"/>
          <w:numId w:val="12"/>
        </w:numPr>
        <w:spacing w:after="160" w:line="259" w:lineRule="auto"/>
      </w:pPr>
      <w:r w:rsidRPr="00C031EE">
        <w:rPr>
          <w:b/>
          <w:bCs/>
        </w:rPr>
        <w:t>„Ambulanța pentru monumente”</w:t>
      </w:r>
      <w:r w:rsidRPr="00C031EE">
        <w:t xml:space="preserve"> – o inițiativă care reușește să salveze clădiri istorice printr-un sistem mixt de voluntariat, formare profesională și implicare comunitară. Este un exemplu de inovare care răspunde simultan unei nevoi culturale, educaționale și sociale.</w:t>
      </w:r>
    </w:p>
    <w:p w14:paraId="651B9C87" w14:textId="77777777" w:rsidR="005A494C" w:rsidRPr="00C031EE" w:rsidRDefault="005A494C" w:rsidP="005A494C">
      <w:pPr>
        <w:numPr>
          <w:ilvl w:val="0"/>
          <w:numId w:val="12"/>
        </w:numPr>
        <w:spacing w:after="160" w:line="259" w:lineRule="auto"/>
      </w:pPr>
      <w:r w:rsidRPr="00C031EE">
        <w:rPr>
          <w:b/>
          <w:bCs/>
        </w:rPr>
        <w:t>„CineCeFace”</w:t>
      </w:r>
      <w:r w:rsidRPr="00C031EE">
        <w:t xml:space="preserve"> – o platformă colaborativă care cartografiază actorii din economia socială și din domeniul dezvoltării durabile, facilitând interacțiunea și colaborarea.</w:t>
      </w:r>
    </w:p>
    <w:p w14:paraId="6F50C886" w14:textId="77777777" w:rsidR="005A494C" w:rsidRPr="00C031EE" w:rsidRDefault="005A494C" w:rsidP="005A494C">
      <w:pPr>
        <w:numPr>
          <w:ilvl w:val="0"/>
          <w:numId w:val="12"/>
        </w:numPr>
        <w:spacing w:after="160" w:line="259" w:lineRule="auto"/>
      </w:pPr>
      <w:r w:rsidRPr="00C031EE">
        <w:rPr>
          <w:b/>
          <w:bCs/>
        </w:rPr>
        <w:t>„MagicHOME”</w:t>
      </w:r>
      <w:r w:rsidRPr="00C031EE">
        <w:t xml:space="preserve"> – spațiu de cazare gratuit pentru părinții copiilor bolnavi, dezvoltat prin crowdfunding, voluntariat și parteneriate public-private.</w:t>
      </w:r>
    </w:p>
    <w:p w14:paraId="0929A296" w14:textId="77777777" w:rsidR="005A494C" w:rsidRPr="00C031EE" w:rsidRDefault="005A494C" w:rsidP="005A494C">
      <w:r w:rsidRPr="00C031EE">
        <w:t>Pe plan european, exemplele variază de la:</w:t>
      </w:r>
    </w:p>
    <w:p w14:paraId="1D4F092B" w14:textId="77777777" w:rsidR="005A494C" w:rsidRPr="00C031EE" w:rsidRDefault="005A494C" w:rsidP="005A494C">
      <w:pPr>
        <w:numPr>
          <w:ilvl w:val="0"/>
          <w:numId w:val="13"/>
        </w:numPr>
        <w:spacing w:after="160" w:line="259" w:lineRule="auto"/>
      </w:pPr>
      <w:r w:rsidRPr="00C031EE">
        <w:rPr>
          <w:b/>
          <w:bCs/>
        </w:rPr>
        <w:t>„Quartiermeister” (Germania)</w:t>
      </w:r>
      <w:r w:rsidRPr="00C031EE">
        <w:t xml:space="preserve"> – o marcă de bere socială care reinvestește 100% din profit în proiecte comunitare;</w:t>
      </w:r>
    </w:p>
    <w:p w14:paraId="7C1F84B1" w14:textId="77777777" w:rsidR="005A494C" w:rsidRPr="00C031EE" w:rsidRDefault="005A494C" w:rsidP="005A494C">
      <w:pPr>
        <w:numPr>
          <w:ilvl w:val="0"/>
          <w:numId w:val="13"/>
        </w:numPr>
        <w:spacing w:after="160" w:line="259" w:lineRule="auto"/>
      </w:pPr>
      <w:r w:rsidRPr="00C031EE">
        <w:rPr>
          <w:b/>
          <w:bCs/>
        </w:rPr>
        <w:t>„Dialogue in the Dark” (Austria)</w:t>
      </w:r>
      <w:r w:rsidRPr="00C031EE">
        <w:t xml:space="preserve"> – o experiență senzorială în întuneric total, ghidată de persoane cu deficiențe de vedere, care schimbă percepții sociale și creează locuri de muncă incluzive;</w:t>
      </w:r>
    </w:p>
    <w:p w14:paraId="603284D7" w14:textId="77777777" w:rsidR="005A494C" w:rsidRPr="00C031EE" w:rsidRDefault="005A494C" w:rsidP="005A494C">
      <w:pPr>
        <w:numPr>
          <w:ilvl w:val="0"/>
          <w:numId w:val="13"/>
        </w:numPr>
        <w:spacing w:after="160" w:line="259" w:lineRule="auto"/>
      </w:pPr>
      <w:r w:rsidRPr="00C031EE">
        <w:rPr>
          <w:b/>
          <w:bCs/>
        </w:rPr>
        <w:t>„Too Good To Go” (Danemarca)</w:t>
      </w:r>
      <w:r w:rsidRPr="00C031EE">
        <w:t xml:space="preserve"> – aplicație care reduce risipa alimentară prin intermedierea vânzării de produse nevândute, la preț redus, de la restaurante și magazine către clienți.</w:t>
      </w:r>
    </w:p>
    <w:p w14:paraId="0D1F26C4" w14:textId="77777777" w:rsidR="005A494C" w:rsidRPr="00C031EE" w:rsidRDefault="005A494C" w:rsidP="005A494C">
      <w:r w:rsidRPr="00C031EE">
        <w:lastRenderedPageBreak/>
        <w:t xml:space="preserve">Aceste inițiative au în comun câteva trăsături: sunt </w:t>
      </w:r>
      <w:r w:rsidRPr="00C031EE">
        <w:rPr>
          <w:b/>
          <w:bCs/>
        </w:rPr>
        <w:t>centrate pe o nevoie socială clară</w:t>
      </w:r>
      <w:r w:rsidRPr="00C031EE">
        <w:t xml:space="preserve">, sunt </w:t>
      </w:r>
      <w:r w:rsidRPr="00C031EE">
        <w:rPr>
          <w:b/>
          <w:bCs/>
        </w:rPr>
        <w:t>co-create cu beneficiarii</w:t>
      </w:r>
      <w:r w:rsidRPr="00C031EE">
        <w:t xml:space="preserve"> și produc </w:t>
      </w:r>
      <w:r w:rsidRPr="00C031EE">
        <w:rPr>
          <w:b/>
          <w:bCs/>
        </w:rPr>
        <w:t>un impact măsurabil și replicabil</w:t>
      </w:r>
      <w:r w:rsidRPr="00C031EE">
        <w:t>.</w:t>
      </w:r>
    </w:p>
    <w:p w14:paraId="7F1EEDF0" w14:textId="77777777" w:rsidR="005A494C" w:rsidRPr="00C031EE" w:rsidRDefault="005A494C" w:rsidP="005A494C">
      <w:pPr>
        <w:pStyle w:val="Heading2"/>
        <w:rPr>
          <w:lang w:val="ro-RO"/>
        </w:rPr>
      </w:pPr>
      <w:bookmarkStart w:id="6" w:name="_Toc195262209"/>
      <w:r w:rsidRPr="00C031EE">
        <w:rPr>
          <w:lang w:val="ro-RO"/>
        </w:rPr>
        <w:t>Rolul profesioniștilor în ecosistemul inovării sociale</w:t>
      </w:r>
      <w:bookmarkEnd w:id="6"/>
    </w:p>
    <w:p w14:paraId="609B0DFE" w14:textId="77777777" w:rsidR="005A494C" w:rsidRPr="00C031EE" w:rsidRDefault="005A494C" w:rsidP="005A494C">
      <w:r w:rsidRPr="00C031EE">
        <w:t xml:space="preserve">Profesioniștii din sectorul public, educație, sănătate, dezvoltare comunitară sau asistență socială sunt actori esențiali în ecosistemul inovării. Ei nu doar implementează idei inovatoare, ci le pot </w:t>
      </w:r>
      <w:r w:rsidRPr="00C031EE">
        <w:rPr>
          <w:b/>
          <w:bCs/>
        </w:rPr>
        <w:t>genera</w:t>
      </w:r>
      <w:r w:rsidRPr="00C031EE">
        <w:t xml:space="preserve"> și </w:t>
      </w:r>
      <w:r w:rsidRPr="00C031EE">
        <w:rPr>
          <w:b/>
          <w:bCs/>
        </w:rPr>
        <w:t>conduce</w:t>
      </w:r>
      <w:r w:rsidRPr="00C031EE">
        <w:t>. În contextul actual, acești actori trebuie să își dezvolte competențe noi:</w:t>
      </w:r>
    </w:p>
    <w:p w14:paraId="3774A237" w14:textId="77777777" w:rsidR="005A494C" w:rsidRPr="00C031EE" w:rsidRDefault="005A494C" w:rsidP="005A494C">
      <w:pPr>
        <w:numPr>
          <w:ilvl w:val="0"/>
          <w:numId w:val="14"/>
        </w:numPr>
        <w:spacing w:after="160" w:line="259" w:lineRule="auto"/>
      </w:pPr>
      <w:r w:rsidRPr="00C031EE">
        <w:rPr>
          <w:b/>
          <w:bCs/>
        </w:rPr>
        <w:t>gândire sistemică</w:t>
      </w:r>
      <w:r w:rsidRPr="00C031EE">
        <w:t>: abilitatea de a vedea conexiunile între probleme sociale diferite și de a construi soluții integrate;</w:t>
      </w:r>
    </w:p>
    <w:p w14:paraId="107FE2C3" w14:textId="77777777" w:rsidR="005A494C" w:rsidRPr="00C031EE" w:rsidRDefault="005A494C" w:rsidP="005A494C">
      <w:pPr>
        <w:numPr>
          <w:ilvl w:val="0"/>
          <w:numId w:val="14"/>
        </w:numPr>
        <w:spacing w:after="160" w:line="259" w:lineRule="auto"/>
      </w:pPr>
      <w:r w:rsidRPr="00C031EE">
        <w:rPr>
          <w:b/>
          <w:bCs/>
        </w:rPr>
        <w:t>leadership colaborativ</w:t>
      </w:r>
      <w:r w:rsidRPr="00C031EE">
        <w:t>: mobilizarea partenerilor din medii diferite (administrație, ONG, comunitate, business);</w:t>
      </w:r>
    </w:p>
    <w:p w14:paraId="152B10F5" w14:textId="77777777" w:rsidR="005A494C" w:rsidRPr="00C031EE" w:rsidRDefault="005A494C" w:rsidP="005A494C">
      <w:pPr>
        <w:numPr>
          <w:ilvl w:val="0"/>
          <w:numId w:val="14"/>
        </w:numPr>
        <w:spacing w:after="160" w:line="259" w:lineRule="auto"/>
      </w:pPr>
      <w:r w:rsidRPr="00C031EE">
        <w:rPr>
          <w:b/>
          <w:bCs/>
        </w:rPr>
        <w:t>adaptabilitate și prototipare</w:t>
      </w:r>
      <w:r w:rsidRPr="00C031EE">
        <w:t>: capacitatea de a testa idei noi, de a învăța din eșecuri și de a itera soluțiile;</w:t>
      </w:r>
    </w:p>
    <w:p w14:paraId="303650BC" w14:textId="77777777" w:rsidR="005A494C" w:rsidRPr="00C031EE" w:rsidRDefault="005A494C" w:rsidP="005A494C">
      <w:pPr>
        <w:numPr>
          <w:ilvl w:val="0"/>
          <w:numId w:val="14"/>
        </w:numPr>
        <w:spacing w:after="160" w:line="259" w:lineRule="auto"/>
      </w:pPr>
      <w:r w:rsidRPr="00C031EE">
        <w:rPr>
          <w:b/>
          <w:bCs/>
        </w:rPr>
        <w:t>evaluare de impact</w:t>
      </w:r>
      <w:r w:rsidRPr="00C031EE">
        <w:t>: măsurarea efectelor reale ale unei inițiative, nu doar în termeni cantitativi, ci și calitativi.</w:t>
      </w:r>
    </w:p>
    <w:p w14:paraId="2EC40BF2" w14:textId="77777777" w:rsidR="005A494C" w:rsidRPr="00C031EE" w:rsidRDefault="005A494C" w:rsidP="005A494C">
      <w:r w:rsidRPr="00C031EE">
        <w:t xml:space="preserve">Mai mult, profesioniștii pot deveni </w:t>
      </w:r>
      <w:r w:rsidRPr="00C031EE">
        <w:rPr>
          <w:b/>
          <w:bCs/>
        </w:rPr>
        <w:t>facilitatori ai inovației</w:t>
      </w:r>
      <w:r w:rsidRPr="00C031EE">
        <w:t xml:space="preserve"> în propriile organizații, susținând o cultură a experimentării și colaborării, inclusiv prin adoptarea unor metode agile de lucru, cum ar fi design thinking, theory of change sau metoda canvas pentru inovare socială.</w:t>
      </w:r>
    </w:p>
    <w:p w14:paraId="320B1FFA" w14:textId="77777777" w:rsidR="005A494C" w:rsidRPr="00C031EE" w:rsidRDefault="005A494C" w:rsidP="005A494C">
      <w:pPr>
        <w:pStyle w:val="Heading2"/>
        <w:rPr>
          <w:lang w:val="ro-RO"/>
        </w:rPr>
      </w:pPr>
      <w:bookmarkStart w:id="7" w:name="_Toc195262210"/>
      <w:r w:rsidRPr="00C031EE">
        <w:rPr>
          <w:lang w:val="ro-RO"/>
        </w:rPr>
        <w:t>Obstacole și provocări în calea inovației sociale</w:t>
      </w:r>
      <w:bookmarkEnd w:id="7"/>
    </w:p>
    <w:p w14:paraId="6FD68439" w14:textId="77777777" w:rsidR="005A494C" w:rsidRPr="00C031EE" w:rsidRDefault="005A494C" w:rsidP="005A494C">
      <w:r w:rsidRPr="00C031EE">
        <w:t>Cu toate beneficiile sale, inovația socială întâmpină o serie de bariere care limitează potențialul de transformare:</w:t>
      </w:r>
    </w:p>
    <w:p w14:paraId="139B66B6" w14:textId="77777777" w:rsidR="005A494C" w:rsidRPr="00C031EE" w:rsidRDefault="005A494C" w:rsidP="005A494C">
      <w:pPr>
        <w:numPr>
          <w:ilvl w:val="0"/>
          <w:numId w:val="15"/>
        </w:numPr>
        <w:spacing w:after="160" w:line="259" w:lineRule="auto"/>
      </w:pPr>
      <w:r w:rsidRPr="00C031EE">
        <w:rPr>
          <w:b/>
          <w:bCs/>
        </w:rPr>
        <w:t>cadru legislativ rigid</w:t>
      </w:r>
      <w:r w:rsidRPr="00C031EE">
        <w:t>, care nu recunoaște sau încurajează forme noi de organizare (ex. întreprinderi sociale, cooperative urbane);</w:t>
      </w:r>
    </w:p>
    <w:p w14:paraId="4BC00C17" w14:textId="77777777" w:rsidR="005A494C" w:rsidRPr="00C031EE" w:rsidRDefault="005A494C" w:rsidP="005A494C">
      <w:pPr>
        <w:numPr>
          <w:ilvl w:val="0"/>
          <w:numId w:val="15"/>
        </w:numPr>
        <w:spacing w:after="160" w:line="259" w:lineRule="auto"/>
      </w:pPr>
      <w:r w:rsidRPr="00C031EE">
        <w:rPr>
          <w:b/>
          <w:bCs/>
        </w:rPr>
        <w:t>acces limitat la finanțare</w:t>
      </w:r>
      <w:r w:rsidRPr="00C031EE">
        <w:t>, în special pentru inițiative mici, care nu dispun de expertiză în redactarea de proiecte complexe;</w:t>
      </w:r>
    </w:p>
    <w:p w14:paraId="219C9C22" w14:textId="77777777" w:rsidR="005A494C" w:rsidRPr="00C031EE" w:rsidRDefault="005A494C" w:rsidP="005A494C">
      <w:pPr>
        <w:numPr>
          <w:ilvl w:val="0"/>
          <w:numId w:val="15"/>
        </w:numPr>
        <w:spacing w:after="160" w:line="259" w:lineRule="auto"/>
      </w:pPr>
      <w:r w:rsidRPr="00C031EE">
        <w:rPr>
          <w:b/>
          <w:bCs/>
        </w:rPr>
        <w:t>reticență instituțională față de soluțiile noi</w:t>
      </w:r>
      <w:r w:rsidRPr="00C031EE">
        <w:t>, adesea asociată cu teama de eșec sau de pierdere a controlului;</w:t>
      </w:r>
    </w:p>
    <w:p w14:paraId="101E8CA9" w14:textId="77777777" w:rsidR="005A494C" w:rsidRPr="00C031EE" w:rsidRDefault="005A494C" w:rsidP="005A494C">
      <w:pPr>
        <w:numPr>
          <w:ilvl w:val="0"/>
          <w:numId w:val="15"/>
        </w:numPr>
        <w:spacing w:after="160" w:line="259" w:lineRule="auto"/>
      </w:pPr>
      <w:r w:rsidRPr="00C031EE">
        <w:rPr>
          <w:b/>
          <w:bCs/>
        </w:rPr>
        <w:t>dificultăți în măsurarea impactului</w:t>
      </w:r>
      <w:r w:rsidRPr="00C031EE">
        <w:t>, mai ales în domenii intangibile (ex. coeziune socială, încredere, participare civică).</w:t>
      </w:r>
    </w:p>
    <w:p w14:paraId="7F06EDBB" w14:textId="77777777" w:rsidR="005A494C" w:rsidRPr="00C031EE" w:rsidRDefault="005A494C" w:rsidP="005A494C">
      <w:r w:rsidRPr="00C031EE">
        <w:t xml:space="preserve">De asemenea, uneori este dificil de realizat </w:t>
      </w:r>
      <w:r w:rsidRPr="00C031EE">
        <w:rPr>
          <w:b/>
          <w:bCs/>
        </w:rPr>
        <w:t>scalarea inițiativelor locale</w:t>
      </w:r>
      <w:r w:rsidRPr="00C031EE">
        <w:t xml:space="preserve"> – o idee bună, funcțională într-un context mic, nu este întotdeauna ușor de adaptat la scară regională sau națională fără o infrastructură de suport.</w:t>
      </w:r>
    </w:p>
    <w:p w14:paraId="47DB23EE" w14:textId="77777777" w:rsidR="005A494C" w:rsidRPr="00C031EE" w:rsidRDefault="005A494C" w:rsidP="005A494C">
      <w:pPr>
        <w:pStyle w:val="Heading2"/>
        <w:rPr>
          <w:lang w:val="ro-RO"/>
        </w:rPr>
      </w:pPr>
      <w:bookmarkStart w:id="8" w:name="_Toc195262211"/>
      <w:r w:rsidRPr="00C031EE">
        <w:rPr>
          <w:lang w:val="ro-RO"/>
        </w:rPr>
        <w:lastRenderedPageBreak/>
        <w:t>Perspective de viitor</w:t>
      </w:r>
      <w:bookmarkEnd w:id="8"/>
    </w:p>
    <w:p w14:paraId="3CFE4B2F" w14:textId="77777777" w:rsidR="005A494C" w:rsidRPr="00C031EE" w:rsidRDefault="005A494C" w:rsidP="005A494C">
      <w:r w:rsidRPr="00C031EE">
        <w:t>Tendințele actuale sugerează că inovația socială va continua să se dezvolte ca o componentă integrantă a politicilor europene și a strategiilor organizaționale. Se prefigurează câteva direcții clare:</w:t>
      </w:r>
    </w:p>
    <w:p w14:paraId="02972F3B" w14:textId="77777777" w:rsidR="005A494C" w:rsidRPr="00C031EE" w:rsidRDefault="005A494C" w:rsidP="005A494C">
      <w:pPr>
        <w:numPr>
          <w:ilvl w:val="0"/>
          <w:numId w:val="16"/>
        </w:numPr>
        <w:spacing w:after="160" w:line="259" w:lineRule="auto"/>
      </w:pPr>
      <w:r w:rsidRPr="00C031EE">
        <w:rPr>
          <w:b/>
          <w:bCs/>
        </w:rPr>
        <w:t>Integrarea inovației sociale în procesul de guvernanță participativă</w:t>
      </w:r>
      <w:r w:rsidRPr="00C031EE">
        <w:t xml:space="preserve"> – prin bugete participative, deliberări cetățenești și co-crearea politicilor publice;</w:t>
      </w:r>
    </w:p>
    <w:p w14:paraId="7CFBA626" w14:textId="77777777" w:rsidR="005A494C" w:rsidRPr="00C031EE" w:rsidRDefault="005A494C" w:rsidP="005A494C">
      <w:pPr>
        <w:numPr>
          <w:ilvl w:val="0"/>
          <w:numId w:val="16"/>
        </w:numPr>
        <w:spacing w:after="160" w:line="259" w:lineRule="auto"/>
      </w:pPr>
      <w:r w:rsidRPr="00C031EE">
        <w:rPr>
          <w:b/>
          <w:bCs/>
        </w:rPr>
        <w:t>Alinierea cu tranzițiile gemene – digitală și verde</w:t>
      </w:r>
      <w:r w:rsidRPr="00C031EE">
        <w:t xml:space="preserve"> – inovarea socială va juca un rol esențial în a face aceste tranziții incluzive și echitabile;</w:t>
      </w:r>
    </w:p>
    <w:p w14:paraId="5D21F717" w14:textId="77777777" w:rsidR="005A494C" w:rsidRPr="00C031EE" w:rsidRDefault="005A494C" w:rsidP="005A494C">
      <w:pPr>
        <w:numPr>
          <w:ilvl w:val="0"/>
          <w:numId w:val="16"/>
        </w:numPr>
        <w:spacing w:after="160" w:line="259" w:lineRule="auto"/>
      </w:pPr>
      <w:r w:rsidRPr="00C031EE">
        <w:rPr>
          <w:b/>
          <w:bCs/>
        </w:rPr>
        <w:t>Crearea de rețele de inovatori sociali</w:t>
      </w:r>
      <w:r w:rsidRPr="00C031EE">
        <w:t xml:space="preserve"> – pentru schimb de cunoștințe, resurse și susținere reciprocă;</w:t>
      </w:r>
    </w:p>
    <w:p w14:paraId="7B1124DD" w14:textId="77777777" w:rsidR="005A494C" w:rsidRPr="00C031EE" w:rsidRDefault="005A494C" w:rsidP="005A494C">
      <w:pPr>
        <w:numPr>
          <w:ilvl w:val="0"/>
          <w:numId w:val="16"/>
        </w:numPr>
        <w:spacing w:after="160" w:line="259" w:lineRule="auto"/>
      </w:pPr>
      <w:r w:rsidRPr="00C031EE">
        <w:rPr>
          <w:b/>
          <w:bCs/>
        </w:rPr>
        <w:t>Formarea profesională continuă în domeniul inovației sociale</w:t>
      </w:r>
      <w:r w:rsidRPr="00C031EE">
        <w:t xml:space="preserve"> – prin cursuri, certificări și incubatoare dedicate.</w:t>
      </w:r>
    </w:p>
    <w:p w14:paraId="5BC0279F" w14:textId="77777777" w:rsidR="005A494C" w:rsidRPr="00C031EE" w:rsidRDefault="005A494C" w:rsidP="005A494C">
      <w:r>
        <w:pict w14:anchorId="69328B75">
          <v:rect id="_x0000_i1025" style="width:0;height:1.5pt" o:hralign="center" o:hrstd="t" o:hr="t" fillcolor="#a0a0a0" stroked="f"/>
        </w:pict>
      </w:r>
    </w:p>
    <w:p w14:paraId="75BCE9FB" w14:textId="77777777" w:rsidR="005A494C" w:rsidRPr="00C031EE" w:rsidRDefault="005A494C" w:rsidP="005A494C">
      <w:pPr>
        <w:pStyle w:val="Heading2"/>
        <w:rPr>
          <w:lang w:val="ro-RO"/>
        </w:rPr>
      </w:pPr>
      <w:bookmarkStart w:id="9" w:name="_Toc195262212"/>
      <w:r w:rsidRPr="00C031EE">
        <w:rPr>
          <w:lang w:val="ro-RO"/>
        </w:rPr>
        <w:t>Concluzie finală:</w:t>
      </w:r>
      <w:bookmarkEnd w:id="9"/>
    </w:p>
    <w:p w14:paraId="6B693F9C" w14:textId="77777777" w:rsidR="005A494C" w:rsidRPr="00C031EE" w:rsidRDefault="005A494C" w:rsidP="005A494C">
      <w:r w:rsidRPr="00C031EE">
        <w:t>Inovația socială este, în prezent, o soluție indispensabilă pentru transformarea pozitivă a societății. Ea aduce împreună actorii relevanți, generează soluții sustenabile și oferă un cadru prin care comunitățile devin mai reziliente și mai solidare. Pentru profesioniști, implicarea în acest tip de proces nu este doar o oportunitate, ci o responsabilitate – de a contribui activ la construcția unei societăți mai echitabile, participative și orientate către viitor.</w:t>
      </w:r>
    </w:p>
    <w:p w14:paraId="3FBA4692" w14:textId="77777777" w:rsidR="005A494C" w:rsidRPr="004E0C56" w:rsidRDefault="005A494C" w:rsidP="005A494C">
      <w:pPr>
        <w:pStyle w:val="Heading1"/>
        <w:rPr>
          <w:lang w:val="ro-RO"/>
        </w:rPr>
      </w:pPr>
      <w:bookmarkStart w:id="10" w:name="_Toc195262213"/>
      <w:r w:rsidRPr="004E0C56">
        <w:rPr>
          <w:lang w:val="ro-RO"/>
        </w:rPr>
        <w:t>Capitolul 2 – Îmbunătățirea accesibilității, a utilizării și a calității TIC</w:t>
      </w:r>
      <w:bookmarkEnd w:id="10"/>
    </w:p>
    <w:p w14:paraId="68323577" w14:textId="77777777" w:rsidR="005A494C" w:rsidRPr="004E0C56" w:rsidRDefault="005A494C" w:rsidP="005A494C">
      <w:r w:rsidRPr="004E0C56">
        <w:t xml:space="preserve">Trăim într-o eră în care tehnologia modelează profund toate aspectele vieții personale, profesionale și sociale. Tehnologiile informației și comunicațiilor (TIC) sunt nu doar instrumente de lucru sau de comunicare, ci veritabile catalizatoare ale schimbării în economie, educație, sănătate, guvernare și incluziune socială. În acest context, devine esențial să discutăm nu doar despre adoptarea TIC, ci și despre </w:t>
      </w:r>
      <w:r w:rsidRPr="004E0C56">
        <w:rPr>
          <w:b/>
          <w:bCs/>
        </w:rPr>
        <w:t>accesibilitate</w:t>
      </w:r>
      <w:r w:rsidRPr="004E0C56">
        <w:t xml:space="preserve">, </w:t>
      </w:r>
      <w:r w:rsidRPr="004E0C56">
        <w:rPr>
          <w:b/>
          <w:bCs/>
        </w:rPr>
        <w:t>utilizare eficientă</w:t>
      </w:r>
      <w:r w:rsidRPr="004E0C56">
        <w:t xml:space="preserve"> și </w:t>
      </w:r>
      <w:r w:rsidRPr="004E0C56">
        <w:rPr>
          <w:b/>
          <w:bCs/>
        </w:rPr>
        <w:t>calitate</w:t>
      </w:r>
      <w:r w:rsidRPr="004E0C56">
        <w:t xml:space="preserve"> – trei dimensiuni esențiale care determină dacă tehnologia devine o punte sau o barieră între indivizi și oportunități.</w:t>
      </w:r>
    </w:p>
    <w:p w14:paraId="6939FBAE" w14:textId="77777777" w:rsidR="005A494C" w:rsidRPr="004E0C56" w:rsidRDefault="005A494C" w:rsidP="005A494C">
      <w:pPr>
        <w:pStyle w:val="Heading2"/>
        <w:rPr>
          <w:lang w:val="ro-RO"/>
        </w:rPr>
      </w:pPr>
      <w:bookmarkStart w:id="11" w:name="_Toc195262214"/>
      <w:r w:rsidRPr="004E0C56">
        <w:rPr>
          <w:lang w:val="ro-RO"/>
        </w:rPr>
        <w:t>De ce accesibilitatea digitală contează mai mult ca oricând</w:t>
      </w:r>
      <w:bookmarkEnd w:id="11"/>
    </w:p>
    <w:p w14:paraId="7079402A" w14:textId="77777777" w:rsidR="005A494C" w:rsidRPr="004E0C56" w:rsidRDefault="005A494C" w:rsidP="005A494C">
      <w:r w:rsidRPr="004E0C56">
        <w:t xml:space="preserve">Accesul la internet și la dispozitive digitale a devenit o condiție de bază pentru participarea deplină la viața socială, economică și civică. Cu toate acestea, în ciuda progresului tehnologic, </w:t>
      </w:r>
      <w:r w:rsidRPr="004E0C56">
        <w:rPr>
          <w:b/>
          <w:bCs/>
        </w:rPr>
        <w:t>milioane de oameni din Europa</w:t>
      </w:r>
      <w:r w:rsidRPr="004E0C56">
        <w:t xml:space="preserve"> încă se confruntă cu obstacole în utilizarea TIC, fie din lipsă de infrastructură, fie din cauza competențelor reduse, a dizabilităților sau a excluziunii sociale.</w:t>
      </w:r>
    </w:p>
    <w:p w14:paraId="769F720E" w14:textId="77777777" w:rsidR="005A494C" w:rsidRPr="004E0C56" w:rsidRDefault="005A494C" w:rsidP="005A494C">
      <w:r w:rsidRPr="004E0C56">
        <w:lastRenderedPageBreak/>
        <w:t xml:space="preserve">Accesibilitatea digitală este conceptul care asigură că </w:t>
      </w:r>
      <w:r w:rsidRPr="004E0C56">
        <w:rPr>
          <w:b/>
          <w:bCs/>
        </w:rPr>
        <w:t>produsele și serviciile digitale pot fi utilizate de toți oamenii, indiferent de abilități, vârstă sau condiții sociale</w:t>
      </w:r>
      <w:r w:rsidRPr="004E0C56">
        <w:t>. Aceasta implică:</w:t>
      </w:r>
    </w:p>
    <w:p w14:paraId="5DE78B61" w14:textId="77777777" w:rsidR="005A494C" w:rsidRPr="004E0C56" w:rsidRDefault="005A494C" w:rsidP="005A494C">
      <w:pPr>
        <w:numPr>
          <w:ilvl w:val="0"/>
          <w:numId w:val="17"/>
        </w:numPr>
        <w:spacing w:after="160" w:line="259" w:lineRule="auto"/>
      </w:pPr>
      <w:r w:rsidRPr="004E0C56">
        <w:t>Design incluziv (site-uri și aplicații accesibile persoanelor cu dizabilități);</w:t>
      </w:r>
    </w:p>
    <w:p w14:paraId="16DAF1AA" w14:textId="77777777" w:rsidR="005A494C" w:rsidRPr="004E0C56" w:rsidRDefault="005A494C" w:rsidP="005A494C">
      <w:pPr>
        <w:numPr>
          <w:ilvl w:val="0"/>
          <w:numId w:val="17"/>
        </w:numPr>
        <w:spacing w:after="160" w:line="259" w:lineRule="auto"/>
      </w:pPr>
      <w:r w:rsidRPr="004E0C56">
        <w:t>Interfețe simple și intuitive pentru persoanele cu competențe digitale reduse;</w:t>
      </w:r>
    </w:p>
    <w:p w14:paraId="6875D009" w14:textId="77777777" w:rsidR="005A494C" w:rsidRPr="004E0C56" w:rsidRDefault="005A494C" w:rsidP="005A494C">
      <w:pPr>
        <w:numPr>
          <w:ilvl w:val="0"/>
          <w:numId w:val="17"/>
        </w:numPr>
        <w:spacing w:after="160" w:line="259" w:lineRule="auto"/>
      </w:pPr>
      <w:r w:rsidRPr="004E0C56">
        <w:t>Conținut ușor de înțeles, cu posibilitatea adaptării la diverse nevoi cognitive sau lingvistice.</w:t>
      </w:r>
    </w:p>
    <w:p w14:paraId="0ABADBD7" w14:textId="77777777" w:rsidR="005A494C" w:rsidRPr="004E0C56" w:rsidRDefault="005A494C" w:rsidP="005A494C">
      <w:r w:rsidRPr="004E0C56">
        <w:t xml:space="preserve">În 2022, Comisia Europeană a adoptat </w:t>
      </w:r>
      <w:r w:rsidRPr="004E0C56">
        <w:rPr>
          <w:b/>
          <w:bCs/>
        </w:rPr>
        <w:t>Actul privind accesibilitatea digitală</w:t>
      </w:r>
      <w:r w:rsidRPr="004E0C56">
        <w:t xml:space="preserve"> (European Accessibility Act), care obligă statele membre ca, până în 2025, să se asigure că o gamă largă de servicii și produse digitale sunt accesibile tuturor cetățenilor. Aceasta include: site-urile web ale instituțiilor publice, aplicațiile mobile, platformele de e-commerce, serviciile de transport și bancomatele.</w:t>
      </w:r>
    </w:p>
    <w:p w14:paraId="3D90702B" w14:textId="77777777" w:rsidR="005A494C" w:rsidRPr="004E0C56" w:rsidRDefault="005A494C" w:rsidP="005A494C">
      <w:pPr>
        <w:pStyle w:val="Heading2"/>
        <w:rPr>
          <w:lang w:val="ro-RO"/>
        </w:rPr>
      </w:pPr>
      <w:bookmarkStart w:id="12" w:name="_Toc195262215"/>
      <w:r w:rsidRPr="004E0C56">
        <w:rPr>
          <w:lang w:val="ro-RO"/>
        </w:rPr>
        <w:t>Alfabetizare digitală: mai mult decât un „skill”, o condiție a incluziunii</w:t>
      </w:r>
      <w:bookmarkEnd w:id="12"/>
    </w:p>
    <w:p w14:paraId="692BE9C6" w14:textId="77777777" w:rsidR="005A494C" w:rsidRPr="004E0C56" w:rsidRDefault="005A494C" w:rsidP="005A494C">
      <w:r w:rsidRPr="004E0C56">
        <w:t xml:space="preserve">Un alt element central este </w:t>
      </w:r>
      <w:r w:rsidRPr="004E0C56">
        <w:rPr>
          <w:b/>
          <w:bCs/>
        </w:rPr>
        <w:t>utilizarea eficientă</w:t>
      </w:r>
      <w:r w:rsidRPr="004E0C56">
        <w:t xml:space="preserve"> a TIC. Nu este suficient ca oamenii să aibă acces la internet – este esențial ca ei să înțeleagă </w:t>
      </w:r>
      <w:r w:rsidRPr="004E0C56">
        <w:rPr>
          <w:b/>
          <w:bCs/>
        </w:rPr>
        <w:t>cum să utilizeze tehnologia în mod competent, critic și creativ</w:t>
      </w:r>
      <w:r w:rsidRPr="004E0C56">
        <w:t>. De aceea, alfabetizarea digitală trebuie privită ca o competență de bază a secolului XXI, alături de citit, scris și calcul.</w:t>
      </w:r>
    </w:p>
    <w:p w14:paraId="54B44E0F" w14:textId="77777777" w:rsidR="005A494C" w:rsidRPr="004E0C56" w:rsidRDefault="005A494C" w:rsidP="005A494C">
      <w:r w:rsidRPr="004E0C56">
        <w:t xml:space="preserve">Potrivit </w:t>
      </w:r>
      <w:r w:rsidRPr="004E0C56">
        <w:rPr>
          <w:i/>
          <w:iCs/>
        </w:rPr>
        <w:t>Digital Economy and Society Index</w:t>
      </w:r>
      <w:r w:rsidRPr="004E0C56">
        <w:t xml:space="preserve"> (DESI), în 2023:</w:t>
      </w:r>
    </w:p>
    <w:p w14:paraId="24237C54" w14:textId="77777777" w:rsidR="005A494C" w:rsidRPr="004E0C56" w:rsidRDefault="005A494C" w:rsidP="005A494C">
      <w:pPr>
        <w:numPr>
          <w:ilvl w:val="0"/>
          <w:numId w:val="18"/>
        </w:numPr>
        <w:spacing w:after="160" w:line="259" w:lineRule="auto"/>
      </w:pPr>
      <w:r w:rsidRPr="004E0C56">
        <w:t>doar 54% dintre europeni dețin cel puțin competențe digitale de bază;</w:t>
      </w:r>
    </w:p>
    <w:p w14:paraId="0065650E" w14:textId="77777777" w:rsidR="005A494C" w:rsidRPr="004E0C56" w:rsidRDefault="005A494C" w:rsidP="005A494C">
      <w:pPr>
        <w:numPr>
          <w:ilvl w:val="0"/>
          <w:numId w:val="18"/>
        </w:numPr>
        <w:spacing w:after="160" w:line="259" w:lineRule="auto"/>
      </w:pPr>
      <w:r w:rsidRPr="004E0C56">
        <w:t>decalajele sunt mai pronunțate în rândul persoanelor vârstnice, al celor cu venituri mici și al celor din zonele rurale;</w:t>
      </w:r>
    </w:p>
    <w:p w14:paraId="4CE288F3" w14:textId="77777777" w:rsidR="005A494C" w:rsidRPr="004E0C56" w:rsidRDefault="005A494C" w:rsidP="005A494C">
      <w:pPr>
        <w:numPr>
          <w:ilvl w:val="0"/>
          <w:numId w:val="18"/>
        </w:numPr>
        <w:spacing w:after="160" w:line="259" w:lineRule="auto"/>
      </w:pPr>
      <w:r w:rsidRPr="004E0C56">
        <w:t>România este una dintre țările cu cele mai mari provocări privind competențele digitale de bază.</w:t>
      </w:r>
    </w:p>
    <w:p w14:paraId="29ACBB54" w14:textId="77777777" w:rsidR="005A494C" w:rsidRPr="004E0C56" w:rsidRDefault="005A494C" w:rsidP="005A494C">
      <w:r w:rsidRPr="004E0C56">
        <w:t>În acest context, intervenția profesională devine crucială. Cadrele didactice, lucrătorii sociali, trainerii, bibliotecarii, consilierii și alți specialiști pot contribui la:</w:t>
      </w:r>
    </w:p>
    <w:p w14:paraId="629B60B4" w14:textId="77777777" w:rsidR="005A494C" w:rsidRPr="004E0C56" w:rsidRDefault="005A494C" w:rsidP="005A494C">
      <w:pPr>
        <w:numPr>
          <w:ilvl w:val="0"/>
          <w:numId w:val="19"/>
        </w:numPr>
        <w:spacing w:after="160" w:line="259" w:lineRule="auto"/>
      </w:pPr>
      <w:r w:rsidRPr="004E0C56">
        <w:t xml:space="preserve">organizarea de </w:t>
      </w:r>
      <w:r w:rsidRPr="004E0C56">
        <w:rPr>
          <w:b/>
          <w:bCs/>
        </w:rPr>
        <w:t>cursuri de inițiere digitală</w:t>
      </w:r>
      <w:r w:rsidRPr="004E0C56">
        <w:t>, adaptate grupurilor vulnerabile;</w:t>
      </w:r>
    </w:p>
    <w:p w14:paraId="7DD9B566" w14:textId="77777777" w:rsidR="005A494C" w:rsidRPr="004E0C56" w:rsidRDefault="005A494C" w:rsidP="005A494C">
      <w:pPr>
        <w:numPr>
          <w:ilvl w:val="0"/>
          <w:numId w:val="19"/>
        </w:numPr>
        <w:spacing w:after="160" w:line="259" w:lineRule="auto"/>
      </w:pPr>
      <w:r w:rsidRPr="004E0C56">
        <w:t xml:space="preserve">dezvoltarea unor </w:t>
      </w:r>
      <w:r w:rsidRPr="004E0C56">
        <w:rPr>
          <w:b/>
          <w:bCs/>
        </w:rPr>
        <w:t>resurse digitale simplificate</w:t>
      </w:r>
      <w:r w:rsidRPr="004E0C56">
        <w:t>, ușor de accesat;</w:t>
      </w:r>
    </w:p>
    <w:p w14:paraId="24110C5B" w14:textId="77777777" w:rsidR="005A494C" w:rsidRPr="004E0C56" w:rsidRDefault="005A494C" w:rsidP="005A494C">
      <w:pPr>
        <w:numPr>
          <w:ilvl w:val="0"/>
          <w:numId w:val="19"/>
        </w:numPr>
        <w:spacing w:after="160" w:line="259" w:lineRule="auto"/>
      </w:pPr>
      <w:r w:rsidRPr="004E0C56">
        <w:t xml:space="preserve">promovarea siguranței în mediul online și a </w:t>
      </w:r>
      <w:r w:rsidRPr="004E0C56">
        <w:rPr>
          <w:b/>
          <w:bCs/>
        </w:rPr>
        <w:t>gândirii critice digitale</w:t>
      </w:r>
      <w:r w:rsidRPr="004E0C56">
        <w:t>, în special în rândul tinerilor.</w:t>
      </w:r>
    </w:p>
    <w:p w14:paraId="3D13D41A" w14:textId="77777777" w:rsidR="005A494C" w:rsidRPr="004E0C56" w:rsidRDefault="005A494C" w:rsidP="005A494C">
      <w:pPr>
        <w:pStyle w:val="Heading2"/>
        <w:rPr>
          <w:lang w:val="ro-RO"/>
        </w:rPr>
      </w:pPr>
      <w:bookmarkStart w:id="13" w:name="_Toc195262216"/>
      <w:r w:rsidRPr="004E0C56">
        <w:rPr>
          <w:lang w:val="ro-RO"/>
        </w:rPr>
        <w:t>Calitatea TIC: de la conectivitate la inovație responsabilă</w:t>
      </w:r>
      <w:bookmarkEnd w:id="13"/>
    </w:p>
    <w:p w14:paraId="3CBCC981" w14:textId="77777777" w:rsidR="005A494C" w:rsidRPr="004E0C56" w:rsidRDefault="005A494C" w:rsidP="005A494C">
      <w:r w:rsidRPr="004E0C56">
        <w:t xml:space="preserve">Când vorbim despre calitate în domeniul TIC, ne referim nu doar la viteză și stabilitate, ci și la </w:t>
      </w:r>
      <w:r w:rsidRPr="004E0C56">
        <w:rPr>
          <w:b/>
          <w:bCs/>
        </w:rPr>
        <w:t>relevanță</w:t>
      </w:r>
      <w:r w:rsidRPr="004E0C56">
        <w:t xml:space="preserve">, </w:t>
      </w:r>
      <w:r w:rsidRPr="004E0C56">
        <w:rPr>
          <w:b/>
          <w:bCs/>
        </w:rPr>
        <w:t>securitate</w:t>
      </w:r>
      <w:r w:rsidRPr="004E0C56">
        <w:t xml:space="preserve">, </w:t>
      </w:r>
      <w:r w:rsidRPr="004E0C56">
        <w:rPr>
          <w:b/>
          <w:bCs/>
        </w:rPr>
        <w:t>etică</w:t>
      </w:r>
      <w:r w:rsidRPr="004E0C56">
        <w:t xml:space="preserve"> și </w:t>
      </w:r>
      <w:r w:rsidRPr="004E0C56">
        <w:rPr>
          <w:b/>
          <w:bCs/>
        </w:rPr>
        <w:t>sustenabilitate</w:t>
      </w:r>
      <w:r w:rsidRPr="004E0C56">
        <w:t>. Într-un peisaj digital din ce în ce mai complex, calitatea tehnologiilor implică:</w:t>
      </w:r>
    </w:p>
    <w:p w14:paraId="318B2E75" w14:textId="77777777" w:rsidR="005A494C" w:rsidRPr="004E0C56" w:rsidRDefault="005A494C" w:rsidP="005A494C">
      <w:pPr>
        <w:numPr>
          <w:ilvl w:val="0"/>
          <w:numId w:val="20"/>
        </w:numPr>
        <w:spacing w:after="160" w:line="259" w:lineRule="auto"/>
      </w:pPr>
      <w:r w:rsidRPr="004E0C56">
        <w:rPr>
          <w:b/>
          <w:bCs/>
        </w:rPr>
        <w:lastRenderedPageBreak/>
        <w:t>Confidențialitatea datelor</w:t>
      </w:r>
      <w:r w:rsidRPr="004E0C56">
        <w:t xml:space="preserve"> – protejarea informațiilor personale și instituționale;</w:t>
      </w:r>
    </w:p>
    <w:p w14:paraId="43821B1E" w14:textId="77777777" w:rsidR="005A494C" w:rsidRPr="004E0C56" w:rsidRDefault="005A494C" w:rsidP="005A494C">
      <w:pPr>
        <w:numPr>
          <w:ilvl w:val="0"/>
          <w:numId w:val="20"/>
        </w:numPr>
        <w:spacing w:after="160" w:line="259" w:lineRule="auto"/>
      </w:pPr>
      <w:r w:rsidRPr="004E0C56">
        <w:rPr>
          <w:b/>
          <w:bCs/>
        </w:rPr>
        <w:t>Securitatea cibernetică</w:t>
      </w:r>
      <w:r w:rsidRPr="004E0C56">
        <w:t xml:space="preserve"> – prevenirea atacurilor, fraudelor și abuzurilor;</w:t>
      </w:r>
    </w:p>
    <w:p w14:paraId="715714DA" w14:textId="77777777" w:rsidR="005A494C" w:rsidRPr="004E0C56" w:rsidRDefault="005A494C" w:rsidP="005A494C">
      <w:pPr>
        <w:numPr>
          <w:ilvl w:val="0"/>
          <w:numId w:val="20"/>
        </w:numPr>
        <w:spacing w:after="160" w:line="259" w:lineRule="auto"/>
      </w:pPr>
      <w:r w:rsidRPr="004E0C56">
        <w:rPr>
          <w:b/>
          <w:bCs/>
        </w:rPr>
        <w:t>Etica algoritmică</w:t>
      </w:r>
      <w:r w:rsidRPr="004E0C56">
        <w:t xml:space="preserve"> – evitarea discriminării automate prin IA sau machine learning;</w:t>
      </w:r>
    </w:p>
    <w:p w14:paraId="34C7EFEC" w14:textId="77777777" w:rsidR="005A494C" w:rsidRPr="004E0C56" w:rsidRDefault="005A494C" w:rsidP="005A494C">
      <w:pPr>
        <w:numPr>
          <w:ilvl w:val="0"/>
          <w:numId w:val="20"/>
        </w:numPr>
        <w:spacing w:after="160" w:line="259" w:lineRule="auto"/>
      </w:pPr>
      <w:r w:rsidRPr="004E0C56">
        <w:rPr>
          <w:b/>
          <w:bCs/>
        </w:rPr>
        <w:t>Design centrat pe utilizator</w:t>
      </w:r>
      <w:r w:rsidRPr="004E0C56">
        <w:t xml:space="preserve"> – soluții intuitive, personalizabile și ușor de folosit;</w:t>
      </w:r>
    </w:p>
    <w:p w14:paraId="754C0CF8" w14:textId="77777777" w:rsidR="005A494C" w:rsidRPr="004E0C56" w:rsidRDefault="005A494C" w:rsidP="005A494C">
      <w:pPr>
        <w:numPr>
          <w:ilvl w:val="0"/>
          <w:numId w:val="20"/>
        </w:numPr>
        <w:spacing w:after="160" w:line="259" w:lineRule="auto"/>
      </w:pPr>
      <w:r w:rsidRPr="004E0C56">
        <w:rPr>
          <w:b/>
          <w:bCs/>
        </w:rPr>
        <w:t>Impactul ecologic</w:t>
      </w:r>
      <w:r w:rsidRPr="004E0C56">
        <w:t xml:space="preserve"> – reducerea amprentei digitale asupra mediului (servere verzi, reciclarea echipamentelor, software eficient energetic).</w:t>
      </w:r>
    </w:p>
    <w:p w14:paraId="019A76F1" w14:textId="77777777" w:rsidR="005A494C" w:rsidRPr="004E0C56" w:rsidRDefault="005A494C" w:rsidP="005A494C">
      <w:r w:rsidRPr="004E0C56">
        <w:t xml:space="preserve">Profesioniștii trebuie să devină tot mai conștienți de </w:t>
      </w:r>
      <w:r w:rsidRPr="004E0C56">
        <w:rPr>
          <w:b/>
          <w:bCs/>
        </w:rPr>
        <w:t>impactul pe termen lung al alegerilor tehnologice</w:t>
      </w:r>
      <w:r w:rsidRPr="004E0C56">
        <w:t xml:space="preserve"> – atât în viața individuală, cât și la nivel organizațional. Adoptarea fără discernământ a unor instrumente digitale poate duce la dependență, excluziune sau pierderea controlului asupra datelor.</w:t>
      </w:r>
    </w:p>
    <w:p w14:paraId="1DD19DF2" w14:textId="77777777" w:rsidR="005A494C" w:rsidRPr="004E0C56" w:rsidRDefault="005A494C" w:rsidP="005A494C">
      <w:pPr>
        <w:pStyle w:val="Heading2"/>
        <w:rPr>
          <w:lang w:val="ro-RO"/>
        </w:rPr>
      </w:pPr>
      <w:bookmarkStart w:id="14" w:name="_Toc195262217"/>
      <w:r w:rsidRPr="004E0C56">
        <w:rPr>
          <w:lang w:val="ro-RO"/>
        </w:rPr>
        <w:t>Tehnologiile emergente și șansa pentru incluziune</w:t>
      </w:r>
      <w:bookmarkEnd w:id="14"/>
    </w:p>
    <w:p w14:paraId="0DA50EB5" w14:textId="77777777" w:rsidR="005A494C" w:rsidRPr="004E0C56" w:rsidRDefault="005A494C" w:rsidP="005A494C">
      <w:r w:rsidRPr="004E0C56">
        <w:t>Noile tehnologii – precum inteligența artificială, realitatea augmentată, blockchain sau internetul obiectelor – oferă oportunități semnificative pentru a îmbunătăți viețile oamenilor, dar pot amplifica și inegalitățile deja existente dacă nu sunt reglementate și gândite etic.</w:t>
      </w:r>
    </w:p>
    <w:p w14:paraId="1031E0CE" w14:textId="77777777" w:rsidR="005A494C" w:rsidRPr="004E0C56" w:rsidRDefault="005A494C" w:rsidP="005A494C">
      <w:r w:rsidRPr="004E0C56">
        <w:t>Exemple de aplicații pozitive:</w:t>
      </w:r>
    </w:p>
    <w:p w14:paraId="6489ECA7" w14:textId="77777777" w:rsidR="005A494C" w:rsidRPr="004E0C56" w:rsidRDefault="005A494C" w:rsidP="005A494C">
      <w:pPr>
        <w:numPr>
          <w:ilvl w:val="0"/>
          <w:numId w:val="21"/>
        </w:numPr>
        <w:spacing w:after="160" w:line="259" w:lineRule="auto"/>
      </w:pPr>
      <w:r w:rsidRPr="004E0C56">
        <w:rPr>
          <w:b/>
          <w:bCs/>
        </w:rPr>
        <w:t>Inteligența artificială în educație</w:t>
      </w:r>
      <w:r w:rsidRPr="004E0C56">
        <w:t xml:space="preserve"> – platforme adaptive care oferă sprijin personalizat elevilor cu dificultăți de învățare;</w:t>
      </w:r>
    </w:p>
    <w:p w14:paraId="1A48B280" w14:textId="77777777" w:rsidR="005A494C" w:rsidRPr="004E0C56" w:rsidRDefault="005A494C" w:rsidP="005A494C">
      <w:pPr>
        <w:numPr>
          <w:ilvl w:val="0"/>
          <w:numId w:val="21"/>
        </w:numPr>
        <w:spacing w:after="160" w:line="259" w:lineRule="auto"/>
      </w:pPr>
      <w:r w:rsidRPr="004E0C56">
        <w:rPr>
          <w:b/>
          <w:bCs/>
        </w:rPr>
        <w:t>Asistenți vocali pentru persoane cu dizabilități vizuale</w:t>
      </w:r>
      <w:r w:rsidRPr="004E0C56">
        <w:t>;</w:t>
      </w:r>
    </w:p>
    <w:p w14:paraId="71F4A2FA" w14:textId="77777777" w:rsidR="005A494C" w:rsidRPr="004E0C56" w:rsidRDefault="005A494C" w:rsidP="005A494C">
      <w:pPr>
        <w:numPr>
          <w:ilvl w:val="0"/>
          <w:numId w:val="21"/>
        </w:numPr>
        <w:spacing w:after="160" w:line="259" w:lineRule="auto"/>
      </w:pPr>
      <w:r w:rsidRPr="004E0C56">
        <w:rPr>
          <w:b/>
          <w:bCs/>
        </w:rPr>
        <w:t>Aplicații mobile pentru pacienți cronici</w:t>
      </w:r>
      <w:r w:rsidRPr="004E0C56">
        <w:t>, care oferă monitorizare la distanță și autonomie crescută;</w:t>
      </w:r>
    </w:p>
    <w:p w14:paraId="511D3FCA" w14:textId="77777777" w:rsidR="005A494C" w:rsidRPr="004E0C56" w:rsidRDefault="005A494C" w:rsidP="005A494C">
      <w:pPr>
        <w:numPr>
          <w:ilvl w:val="0"/>
          <w:numId w:val="21"/>
        </w:numPr>
        <w:spacing w:after="160" w:line="259" w:lineRule="auto"/>
      </w:pPr>
      <w:r w:rsidRPr="004E0C56">
        <w:rPr>
          <w:b/>
          <w:bCs/>
        </w:rPr>
        <w:t>Blockchain pentru incluziunea financiară</w:t>
      </w:r>
      <w:r w:rsidRPr="004E0C56">
        <w:t>, în special în zone unde accesul la sistem bancar tradițional este limitat.</w:t>
      </w:r>
    </w:p>
    <w:p w14:paraId="6A2502AB" w14:textId="77777777" w:rsidR="005A494C" w:rsidRPr="004E0C56" w:rsidRDefault="005A494C" w:rsidP="005A494C">
      <w:r w:rsidRPr="004E0C56">
        <w:t xml:space="preserve">Totuși, pentru ca aceste tehnologii să devină un </w:t>
      </w:r>
      <w:r w:rsidRPr="004E0C56">
        <w:rPr>
          <w:b/>
          <w:bCs/>
        </w:rPr>
        <w:t>factor de echitate</w:t>
      </w:r>
      <w:r w:rsidRPr="004E0C56">
        <w:t>, este nevoie de:</w:t>
      </w:r>
    </w:p>
    <w:p w14:paraId="28E4559B" w14:textId="77777777" w:rsidR="005A494C" w:rsidRPr="004E0C56" w:rsidRDefault="005A494C" w:rsidP="005A494C">
      <w:pPr>
        <w:numPr>
          <w:ilvl w:val="0"/>
          <w:numId w:val="22"/>
        </w:numPr>
        <w:spacing w:after="160" w:line="259" w:lineRule="auto"/>
      </w:pPr>
      <w:r w:rsidRPr="004E0C56">
        <w:t>politici publice proactive;</w:t>
      </w:r>
    </w:p>
    <w:p w14:paraId="5AB4DBF8" w14:textId="77777777" w:rsidR="005A494C" w:rsidRPr="004E0C56" w:rsidRDefault="005A494C" w:rsidP="005A494C">
      <w:pPr>
        <w:numPr>
          <w:ilvl w:val="0"/>
          <w:numId w:val="22"/>
        </w:numPr>
        <w:spacing w:after="160" w:line="259" w:lineRule="auto"/>
      </w:pPr>
      <w:r w:rsidRPr="004E0C56">
        <w:t>standarde de interoperabilitate;</w:t>
      </w:r>
    </w:p>
    <w:p w14:paraId="6767AFEE" w14:textId="77777777" w:rsidR="005A494C" w:rsidRPr="004E0C56" w:rsidRDefault="005A494C" w:rsidP="005A494C">
      <w:pPr>
        <w:numPr>
          <w:ilvl w:val="0"/>
          <w:numId w:val="22"/>
        </w:numPr>
        <w:spacing w:after="160" w:line="259" w:lineRule="auto"/>
      </w:pPr>
      <w:r w:rsidRPr="004E0C56">
        <w:t>educație continuă pentru profesioniști;</w:t>
      </w:r>
    </w:p>
    <w:p w14:paraId="0FD51A73" w14:textId="77777777" w:rsidR="005A494C" w:rsidRPr="004E0C56" w:rsidRDefault="005A494C" w:rsidP="005A494C">
      <w:pPr>
        <w:numPr>
          <w:ilvl w:val="0"/>
          <w:numId w:val="22"/>
        </w:numPr>
        <w:spacing w:after="160" w:line="259" w:lineRule="auto"/>
      </w:pPr>
      <w:r w:rsidRPr="004E0C56">
        <w:t>implicarea activă a comunităților vulnerabile în designul tehnologic.</w:t>
      </w:r>
    </w:p>
    <w:p w14:paraId="7D647136" w14:textId="77777777" w:rsidR="005A494C" w:rsidRPr="004E0C56" w:rsidRDefault="005A494C" w:rsidP="005A494C">
      <w:pPr>
        <w:pStyle w:val="Heading2"/>
        <w:rPr>
          <w:lang w:val="ro-RO"/>
        </w:rPr>
      </w:pPr>
      <w:bookmarkStart w:id="15" w:name="_Toc195262218"/>
      <w:r w:rsidRPr="004E0C56">
        <w:rPr>
          <w:lang w:val="ro-RO"/>
        </w:rPr>
        <w:lastRenderedPageBreak/>
        <w:t>Rolul profesioniștilor în democratizarea tehnologiei</w:t>
      </w:r>
      <w:bookmarkEnd w:id="15"/>
    </w:p>
    <w:p w14:paraId="115810BE" w14:textId="77777777" w:rsidR="005A494C" w:rsidRPr="004E0C56" w:rsidRDefault="005A494C" w:rsidP="005A494C">
      <w:r w:rsidRPr="004E0C56">
        <w:t xml:space="preserve">Profesioniștii din diverse domenii pot și trebuie să devină </w:t>
      </w:r>
      <w:r w:rsidRPr="004E0C56">
        <w:rPr>
          <w:b/>
          <w:bCs/>
        </w:rPr>
        <w:t>mediatori între tehnologie și oameni</w:t>
      </w:r>
      <w:r w:rsidRPr="004E0C56">
        <w:t>. Ei sunt adesea primii care sesizează decalajele, nevoile și oportunitățile care apar în comunități și pot acționa ca vectori ai transformării digitale echitabile.</w:t>
      </w:r>
    </w:p>
    <w:p w14:paraId="7A8700B1" w14:textId="77777777" w:rsidR="005A494C" w:rsidRPr="004E0C56" w:rsidRDefault="005A494C" w:rsidP="005A494C">
      <w:r w:rsidRPr="004E0C56">
        <w:t>Responsabilitățile includ:</w:t>
      </w:r>
    </w:p>
    <w:p w14:paraId="283284EE" w14:textId="77777777" w:rsidR="005A494C" w:rsidRPr="004E0C56" w:rsidRDefault="005A494C" w:rsidP="005A494C">
      <w:pPr>
        <w:numPr>
          <w:ilvl w:val="0"/>
          <w:numId w:val="23"/>
        </w:numPr>
        <w:spacing w:after="160" w:line="259" w:lineRule="auto"/>
      </w:pPr>
      <w:r w:rsidRPr="004E0C56">
        <w:rPr>
          <w:b/>
          <w:bCs/>
        </w:rPr>
        <w:t>Promovarea incluziunii digitale</w:t>
      </w:r>
      <w:r w:rsidRPr="004E0C56">
        <w:t xml:space="preserve"> în activitățile curente (servicii publice, educație, sănătate, cultură);</w:t>
      </w:r>
    </w:p>
    <w:p w14:paraId="35227767" w14:textId="77777777" w:rsidR="005A494C" w:rsidRPr="004E0C56" w:rsidRDefault="005A494C" w:rsidP="005A494C">
      <w:pPr>
        <w:numPr>
          <w:ilvl w:val="0"/>
          <w:numId w:val="23"/>
        </w:numPr>
        <w:spacing w:after="160" w:line="259" w:lineRule="auto"/>
      </w:pPr>
      <w:r w:rsidRPr="004E0C56">
        <w:rPr>
          <w:b/>
          <w:bCs/>
        </w:rPr>
        <w:t>Identificarea și eliminarea barierelor</w:t>
      </w:r>
      <w:r w:rsidRPr="004E0C56">
        <w:t xml:space="preserve"> în utilizarea tehnologiei (ex. termeni tehnici, costuri, lipsa de încredere);</w:t>
      </w:r>
    </w:p>
    <w:p w14:paraId="064B7533" w14:textId="77777777" w:rsidR="005A494C" w:rsidRPr="004E0C56" w:rsidRDefault="005A494C" w:rsidP="005A494C">
      <w:pPr>
        <w:numPr>
          <w:ilvl w:val="0"/>
          <w:numId w:val="23"/>
        </w:numPr>
        <w:spacing w:after="160" w:line="259" w:lineRule="auto"/>
      </w:pPr>
      <w:r w:rsidRPr="004E0C56">
        <w:rPr>
          <w:b/>
          <w:bCs/>
        </w:rPr>
        <w:t>Crearea de punți între generații</w:t>
      </w:r>
      <w:r w:rsidRPr="004E0C56">
        <w:t>, prin mentorat și activități intergeneraționale digitale;</w:t>
      </w:r>
    </w:p>
    <w:p w14:paraId="17DBE3A5" w14:textId="77777777" w:rsidR="005A494C" w:rsidRPr="004E0C56" w:rsidRDefault="005A494C" w:rsidP="005A494C">
      <w:pPr>
        <w:numPr>
          <w:ilvl w:val="0"/>
          <w:numId w:val="23"/>
        </w:numPr>
        <w:spacing w:after="160" w:line="259" w:lineRule="auto"/>
      </w:pPr>
      <w:r w:rsidRPr="004E0C56">
        <w:rPr>
          <w:b/>
          <w:bCs/>
        </w:rPr>
        <w:t>Sprijinirea alfabetizării media și informaționale</w:t>
      </w:r>
      <w:r w:rsidRPr="004E0C56">
        <w:t>, pentru a reduce expunerea la dezinformare și manipulare online.</w:t>
      </w:r>
    </w:p>
    <w:p w14:paraId="69B8FAAB" w14:textId="77777777" w:rsidR="005A494C" w:rsidRPr="004E0C56" w:rsidRDefault="005A494C" w:rsidP="005A494C">
      <w:pPr>
        <w:rPr>
          <w:b/>
          <w:bCs/>
        </w:rPr>
      </w:pPr>
      <w:r w:rsidRPr="004E0C56">
        <w:rPr>
          <w:b/>
          <w:bCs/>
        </w:rPr>
        <w:t>Tendințe europene și direcții de acțiune</w:t>
      </w:r>
    </w:p>
    <w:p w14:paraId="78756821" w14:textId="77777777" w:rsidR="005A494C" w:rsidRPr="004E0C56" w:rsidRDefault="005A494C" w:rsidP="005A494C">
      <w:r w:rsidRPr="004E0C56">
        <w:t xml:space="preserve">Uniunea Europeană a fixat obiective clare în cadrul </w:t>
      </w:r>
      <w:r w:rsidRPr="004E0C56">
        <w:rPr>
          <w:b/>
          <w:bCs/>
        </w:rPr>
        <w:t>Deceniului digital 2030</w:t>
      </w:r>
      <w:r w:rsidRPr="004E0C56">
        <w:t>, printre care:</w:t>
      </w:r>
    </w:p>
    <w:p w14:paraId="4B28BD6A" w14:textId="77777777" w:rsidR="005A494C" w:rsidRPr="004E0C56" w:rsidRDefault="005A494C" w:rsidP="005A494C">
      <w:pPr>
        <w:numPr>
          <w:ilvl w:val="0"/>
          <w:numId w:val="24"/>
        </w:numPr>
        <w:spacing w:after="160" w:line="259" w:lineRule="auto"/>
      </w:pPr>
      <w:r w:rsidRPr="004E0C56">
        <w:t>minimum 80% dintre adulți să dețină competențe digitale de bază;</w:t>
      </w:r>
    </w:p>
    <w:p w14:paraId="74F7560F" w14:textId="77777777" w:rsidR="005A494C" w:rsidRPr="004E0C56" w:rsidRDefault="005A494C" w:rsidP="005A494C">
      <w:pPr>
        <w:numPr>
          <w:ilvl w:val="0"/>
          <w:numId w:val="24"/>
        </w:numPr>
        <w:spacing w:after="160" w:line="259" w:lineRule="auto"/>
      </w:pPr>
      <w:r w:rsidRPr="004E0C56">
        <w:t>conectivitate de mare viteză pentru toate gospodăriile;</w:t>
      </w:r>
    </w:p>
    <w:p w14:paraId="4FAD7363" w14:textId="77777777" w:rsidR="005A494C" w:rsidRPr="004E0C56" w:rsidRDefault="005A494C" w:rsidP="005A494C">
      <w:pPr>
        <w:numPr>
          <w:ilvl w:val="0"/>
          <w:numId w:val="24"/>
        </w:numPr>
        <w:spacing w:after="160" w:line="259" w:lineRule="auto"/>
      </w:pPr>
      <w:r w:rsidRPr="004E0C56">
        <w:t>digitalizarea administrației publice în toate statele membre;</w:t>
      </w:r>
    </w:p>
    <w:p w14:paraId="4C307335" w14:textId="77777777" w:rsidR="005A494C" w:rsidRPr="004E0C56" w:rsidRDefault="005A494C" w:rsidP="005A494C">
      <w:pPr>
        <w:numPr>
          <w:ilvl w:val="0"/>
          <w:numId w:val="24"/>
        </w:numPr>
        <w:spacing w:after="160" w:line="259" w:lineRule="auto"/>
      </w:pPr>
      <w:r w:rsidRPr="004E0C56">
        <w:t>susținerea unui ecosistem de start-upuri și inovație digitală etică.</w:t>
      </w:r>
    </w:p>
    <w:p w14:paraId="79C094B6" w14:textId="77777777" w:rsidR="005A494C" w:rsidRPr="004E0C56" w:rsidRDefault="005A494C" w:rsidP="005A494C">
      <w:r w:rsidRPr="004E0C56">
        <w:t xml:space="preserve">Pentru atingerea acestor obiective, este esențial ca </w:t>
      </w:r>
      <w:r w:rsidRPr="004E0C56">
        <w:rPr>
          <w:b/>
          <w:bCs/>
        </w:rPr>
        <w:t>toți actorii profesioniști</w:t>
      </w:r>
      <w:r w:rsidRPr="004E0C56">
        <w:t xml:space="preserve"> să fie parte activă din proces – nu doar experții în IT, ci și specialiștii din domenii sociale, educaționale, medicale sau culturale. Fără o abordare transversală, echitabilă și sustenabilă, progresul digital riscă să devină un nou factor de diviziune socială, în loc să fie un catalizator al coeziunii și dezvoltării.</w:t>
      </w:r>
    </w:p>
    <w:p w14:paraId="6C160FDD" w14:textId="77777777" w:rsidR="005A494C" w:rsidRPr="004E0C56" w:rsidRDefault="005A494C" w:rsidP="005A494C">
      <w:r>
        <w:pict w14:anchorId="531D011D">
          <v:rect id="_x0000_i1026" style="width:0;height:1.5pt" o:hralign="center" o:hrstd="t" o:hr="t" fillcolor="#a0a0a0" stroked="f"/>
        </w:pict>
      </w:r>
    </w:p>
    <w:p w14:paraId="256B73F8" w14:textId="77777777" w:rsidR="005A494C" w:rsidRPr="004E0C56" w:rsidRDefault="005A494C" w:rsidP="005A494C">
      <w:pPr>
        <w:pStyle w:val="Heading2"/>
        <w:rPr>
          <w:lang w:val="ro-RO"/>
        </w:rPr>
      </w:pPr>
      <w:bookmarkStart w:id="16" w:name="_Toc195262219"/>
      <w:r w:rsidRPr="004E0C56">
        <w:rPr>
          <w:lang w:val="ro-RO"/>
        </w:rPr>
        <w:t>Concluzie finală:</w:t>
      </w:r>
      <w:bookmarkEnd w:id="16"/>
    </w:p>
    <w:p w14:paraId="264CAD1D" w14:textId="77777777" w:rsidR="005A494C" w:rsidRPr="004E0C56" w:rsidRDefault="005A494C" w:rsidP="005A494C">
      <w:r w:rsidRPr="004E0C56">
        <w:t xml:space="preserve">TIC nu sunt doar despre viteză și eficiență, ci mai ales despre </w:t>
      </w:r>
      <w:r w:rsidRPr="004E0C56">
        <w:rPr>
          <w:b/>
          <w:bCs/>
        </w:rPr>
        <w:t>oportunități reale pentru oameni reali</w:t>
      </w:r>
      <w:r w:rsidRPr="004E0C56">
        <w:t xml:space="preserve">. Într-o societate care digitalizează tot mai rapid, accesibilitatea, utilizarea conștientă și calitatea tehnologiei trebuie privite ca priorități strategice. Profesioniștii au datoria și puterea de a transforma tehnologia dintr-un instrument rece într-un </w:t>
      </w:r>
      <w:r w:rsidRPr="004E0C56">
        <w:rPr>
          <w:b/>
          <w:bCs/>
        </w:rPr>
        <w:t>aliat al incluziunii, demnității și progresului social</w:t>
      </w:r>
      <w:r w:rsidRPr="004E0C56">
        <w:t>.</w:t>
      </w:r>
    </w:p>
    <w:p w14:paraId="6699F7F7" w14:textId="77777777" w:rsidR="005A494C" w:rsidRDefault="005A494C" w:rsidP="005A494C"/>
    <w:p w14:paraId="3BCAB50B" w14:textId="77777777" w:rsidR="005A494C" w:rsidRDefault="005A494C" w:rsidP="005A494C"/>
    <w:p w14:paraId="45F15381" w14:textId="77777777" w:rsidR="005A494C" w:rsidRDefault="005A494C" w:rsidP="005A494C"/>
    <w:p w14:paraId="561D4C1C" w14:textId="77777777" w:rsidR="005A494C" w:rsidRDefault="005A494C" w:rsidP="005A494C"/>
    <w:p w14:paraId="3CFDBC9E" w14:textId="77777777" w:rsidR="005A494C" w:rsidRPr="008A72AC" w:rsidRDefault="005A494C" w:rsidP="005A494C">
      <w:pPr>
        <w:pStyle w:val="Heading2"/>
        <w:rPr>
          <w:lang w:val="ro-RO"/>
        </w:rPr>
      </w:pPr>
      <w:bookmarkStart w:id="17" w:name="_Toc195262220"/>
      <w:r w:rsidRPr="008A72AC">
        <w:rPr>
          <w:lang w:val="ro-RO"/>
        </w:rPr>
        <w:t>Capitolul 3 – Nediscriminarea: cadru legal, provocări și soluții în practică</w:t>
      </w:r>
      <w:bookmarkEnd w:id="17"/>
    </w:p>
    <w:p w14:paraId="6D39C932" w14:textId="77777777" w:rsidR="005A494C" w:rsidRPr="008A72AC" w:rsidRDefault="005A494C" w:rsidP="005A494C">
      <w:r w:rsidRPr="008A72AC">
        <w:t>Trăim într-o epocă a diversității, în care multiple identități – de gen, etnice, culturale, religioase, sociale sau profesionale – coexistă și se intersectează în spațiul public și profesional. Cu toate acestea, discriminarea, în formele ei directe sau subtile, continuă să afecteze profund accesul echitabil la educație, muncă, servicii publice sau participare civică. Nediscriminarea nu mai este doar o obligație legală, ci o condiție esențială pentru coeziune socială, eficiență instituțională și progres durabil.</w:t>
      </w:r>
    </w:p>
    <w:p w14:paraId="5CE86E29" w14:textId="77777777" w:rsidR="005A494C" w:rsidRPr="008A72AC" w:rsidRDefault="005A494C" w:rsidP="005A494C">
      <w:pPr>
        <w:pStyle w:val="Heading3"/>
        <w:rPr>
          <w:lang w:val="ro-RO"/>
        </w:rPr>
      </w:pPr>
      <w:bookmarkStart w:id="18" w:name="_Toc195262221"/>
      <w:r w:rsidRPr="008A72AC">
        <w:rPr>
          <w:lang w:val="ro-RO"/>
        </w:rPr>
        <w:t>De la principiu moral la obligație legală</w:t>
      </w:r>
      <w:bookmarkEnd w:id="18"/>
    </w:p>
    <w:p w14:paraId="5BD7036B" w14:textId="77777777" w:rsidR="005A494C" w:rsidRPr="008A72AC" w:rsidRDefault="005A494C" w:rsidP="005A494C">
      <w:r w:rsidRPr="008A72AC">
        <w:t xml:space="preserve">Conceptul de nediscriminare se bazează pe ideea fundamentală că </w:t>
      </w:r>
      <w:r w:rsidRPr="008A72AC">
        <w:rPr>
          <w:b/>
          <w:bCs/>
        </w:rPr>
        <w:t>toți oamenii trebuie tratați cu demnitate și egalitate</w:t>
      </w:r>
      <w:r w:rsidRPr="008A72AC">
        <w:t>, fără a fi dezavantajați pe criterii arbitrare. Acest principiu este consacrat în numeroase tratate internaționale și europene:</w:t>
      </w:r>
    </w:p>
    <w:p w14:paraId="62AB089E" w14:textId="77777777" w:rsidR="005A494C" w:rsidRPr="008A72AC" w:rsidRDefault="005A494C" w:rsidP="005A494C">
      <w:pPr>
        <w:numPr>
          <w:ilvl w:val="0"/>
          <w:numId w:val="25"/>
        </w:numPr>
        <w:spacing w:after="160" w:line="259" w:lineRule="auto"/>
      </w:pPr>
      <w:r w:rsidRPr="008A72AC">
        <w:rPr>
          <w:b/>
          <w:bCs/>
        </w:rPr>
        <w:t>Declarația Universală a Drepturilor Omului</w:t>
      </w:r>
      <w:r w:rsidRPr="008A72AC">
        <w:t xml:space="preserve"> (art. 1 și 2);</w:t>
      </w:r>
    </w:p>
    <w:p w14:paraId="5676930D" w14:textId="77777777" w:rsidR="005A494C" w:rsidRPr="008A72AC" w:rsidRDefault="005A494C" w:rsidP="005A494C">
      <w:pPr>
        <w:numPr>
          <w:ilvl w:val="0"/>
          <w:numId w:val="25"/>
        </w:numPr>
        <w:spacing w:after="160" w:line="259" w:lineRule="auto"/>
      </w:pPr>
      <w:r w:rsidRPr="008A72AC">
        <w:rPr>
          <w:b/>
          <w:bCs/>
        </w:rPr>
        <w:t>Convenția Europeană a Drepturilor Omului</w:t>
      </w:r>
      <w:r w:rsidRPr="008A72AC">
        <w:t>;</w:t>
      </w:r>
    </w:p>
    <w:p w14:paraId="1DF44B04" w14:textId="77777777" w:rsidR="005A494C" w:rsidRPr="008A72AC" w:rsidRDefault="005A494C" w:rsidP="005A494C">
      <w:pPr>
        <w:numPr>
          <w:ilvl w:val="0"/>
          <w:numId w:val="25"/>
        </w:numPr>
        <w:spacing w:after="160" w:line="259" w:lineRule="auto"/>
      </w:pPr>
      <w:r w:rsidRPr="008A72AC">
        <w:rPr>
          <w:b/>
          <w:bCs/>
        </w:rPr>
        <w:t>Carta drepturilor fundamentale a Uniunii Europene</w:t>
      </w:r>
      <w:r w:rsidRPr="008A72AC">
        <w:t xml:space="preserve"> (art. 21 – interzicerea oricărei discriminări);</w:t>
      </w:r>
    </w:p>
    <w:p w14:paraId="3FEEA481" w14:textId="77777777" w:rsidR="005A494C" w:rsidRPr="008A72AC" w:rsidRDefault="005A494C" w:rsidP="005A494C">
      <w:pPr>
        <w:numPr>
          <w:ilvl w:val="0"/>
          <w:numId w:val="25"/>
        </w:numPr>
        <w:spacing w:after="160" w:line="259" w:lineRule="auto"/>
      </w:pPr>
      <w:r w:rsidRPr="008A72AC">
        <w:rPr>
          <w:b/>
          <w:bCs/>
        </w:rPr>
        <w:t>Directivele Uniunii Europene</w:t>
      </w:r>
      <w:r w:rsidRPr="008A72AC">
        <w:t xml:space="preserve"> privind egalitatea de tratament în muncă, educație și servicii.</w:t>
      </w:r>
    </w:p>
    <w:p w14:paraId="4129D0B7" w14:textId="77777777" w:rsidR="005A494C" w:rsidRPr="008A72AC" w:rsidRDefault="005A494C" w:rsidP="005A494C">
      <w:r w:rsidRPr="008A72AC">
        <w:t xml:space="preserve">La nivel național, România a introdus în legislație conceptul de discriminare prin </w:t>
      </w:r>
      <w:r w:rsidRPr="008A72AC">
        <w:rPr>
          <w:b/>
          <w:bCs/>
        </w:rPr>
        <w:t>Ordonanța nr. 137/2000</w:t>
      </w:r>
      <w:r w:rsidRPr="008A72AC">
        <w:t xml:space="preserve">, iar autoritatea competentă în monitorizare, prevenire și sancționare este </w:t>
      </w:r>
      <w:r w:rsidRPr="008A72AC">
        <w:rPr>
          <w:b/>
          <w:bCs/>
        </w:rPr>
        <w:t>Consiliul Național pentru Combaterea Discriminării (CNCD)</w:t>
      </w:r>
      <w:r w:rsidRPr="008A72AC">
        <w:t>.</w:t>
      </w:r>
    </w:p>
    <w:p w14:paraId="7C38CCE0" w14:textId="77777777" w:rsidR="005A494C" w:rsidRPr="008A72AC" w:rsidRDefault="005A494C" w:rsidP="005A494C">
      <w:r w:rsidRPr="008A72AC">
        <w:t xml:space="preserve">Conform legii, discriminarea este definită ca fiind </w:t>
      </w:r>
      <w:r w:rsidRPr="008A72AC">
        <w:rPr>
          <w:b/>
          <w:bCs/>
        </w:rPr>
        <w:t>orice deosebire, excludere, restricție sau preferință</w:t>
      </w:r>
      <w:r w:rsidRPr="008A72AC">
        <w:t>, pe bază de criterii precum:</w:t>
      </w:r>
    </w:p>
    <w:p w14:paraId="2A18A9C2" w14:textId="77777777" w:rsidR="005A494C" w:rsidRPr="008A72AC" w:rsidRDefault="005A494C" w:rsidP="005A494C">
      <w:pPr>
        <w:numPr>
          <w:ilvl w:val="0"/>
          <w:numId w:val="26"/>
        </w:numPr>
        <w:spacing w:after="160" w:line="259" w:lineRule="auto"/>
      </w:pPr>
      <w:r w:rsidRPr="008A72AC">
        <w:t>rasă, naționalitate, etnie;</w:t>
      </w:r>
    </w:p>
    <w:p w14:paraId="0F353F09" w14:textId="77777777" w:rsidR="005A494C" w:rsidRPr="008A72AC" w:rsidRDefault="005A494C" w:rsidP="005A494C">
      <w:pPr>
        <w:numPr>
          <w:ilvl w:val="0"/>
          <w:numId w:val="26"/>
        </w:numPr>
        <w:spacing w:after="160" w:line="259" w:lineRule="auto"/>
      </w:pPr>
      <w:r w:rsidRPr="008A72AC">
        <w:t>sex, orientare sexuală;</w:t>
      </w:r>
    </w:p>
    <w:p w14:paraId="08C001A8" w14:textId="77777777" w:rsidR="005A494C" w:rsidRPr="008A72AC" w:rsidRDefault="005A494C" w:rsidP="005A494C">
      <w:pPr>
        <w:numPr>
          <w:ilvl w:val="0"/>
          <w:numId w:val="26"/>
        </w:numPr>
        <w:spacing w:after="160" w:line="259" w:lineRule="auto"/>
      </w:pPr>
      <w:r w:rsidRPr="008A72AC">
        <w:t>religie, vârstă, dizabilitate;</w:t>
      </w:r>
    </w:p>
    <w:p w14:paraId="490C4526" w14:textId="77777777" w:rsidR="005A494C" w:rsidRPr="008A72AC" w:rsidRDefault="005A494C" w:rsidP="005A494C">
      <w:pPr>
        <w:numPr>
          <w:ilvl w:val="0"/>
          <w:numId w:val="26"/>
        </w:numPr>
        <w:spacing w:after="160" w:line="259" w:lineRule="auto"/>
      </w:pPr>
      <w:r w:rsidRPr="008A72AC">
        <w:t>opinii politice, statut social sau economic.</w:t>
      </w:r>
    </w:p>
    <w:p w14:paraId="76C5A8B4" w14:textId="77777777" w:rsidR="005A494C" w:rsidRPr="008A72AC" w:rsidRDefault="005A494C" w:rsidP="005A494C">
      <w:pPr>
        <w:pStyle w:val="Heading3"/>
        <w:rPr>
          <w:lang w:val="ro-RO"/>
        </w:rPr>
      </w:pPr>
      <w:bookmarkStart w:id="19" w:name="_Toc195262222"/>
      <w:r w:rsidRPr="008A72AC">
        <w:rPr>
          <w:lang w:val="ro-RO"/>
        </w:rPr>
        <w:lastRenderedPageBreak/>
        <w:t>Tipuri de discriminare și forme ascunse</w:t>
      </w:r>
      <w:bookmarkEnd w:id="19"/>
    </w:p>
    <w:p w14:paraId="17E602CB" w14:textId="77777777" w:rsidR="005A494C" w:rsidRPr="008A72AC" w:rsidRDefault="005A494C" w:rsidP="005A494C">
      <w:r w:rsidRPr="008A72AC">
        <w:t>Discriminarea nu se manifestă întotdeauna vizibil. De multe ori, ea ia forme subtile, normalizate sau sistemice, care afectează șansele reale ale indivizilor.</w:t>
      </w:r>
    </w:p>
    <w:p w14:paraId="6E05F3E5" w14:textId="77777777" w:rsidR="005A494C" w:rsidRPr="008A72AC" w:rsidRDefault="005A494C" w:rsidP="005A494C">
      <w:r w:rsidRPr="008A72AC">
        <w:rPr>
          <w:b/>
          <w:bCs/>
        </w:rPr>
        <w:t>1. Discriminare directă:</w:t>
      </w:r>
      <w:r w:rsidRPr="008A72AC">
        <w:br/>
        <w:t>Tratamentul evident diferit și injust aplicat unei persoane – de exemplu, refuzul de a angaja o femeie însărcinată sau un candidat rom deși este calificat.</w:t>
      </w:r>
    </w:p>
    <w:p w14:paraId="756A8356" w14:textId="77777777" w:rsidR="005A494C" w:rsidRPr="008A72AC" w:rsidRDefault="005A494C" w:rsidP="005A494C">
      <w:r w:rsidRPr="008A72AC">
        <w:rPr>
          <w:b/>
          <w:bCs/>
        </w:rPr>
        <w:t>2. Discriminare indirectă:</w:t>
      </w:r>
      <w:r w:rsidRPr="008A72AC">
        <w:br/>
        <w:t>Apare atunci când o regulă aparent neutră dezavantajează un anumit grup – cum ar fi impunerea unei cerințe de „minim 5 ani experiență” într-un domeniu dominat anterior de bărbați, ceea ce poate exclude femeile mai nou intrate pe piață.</w:t>
      </w:r>
    </w:p>
    <w:p w14:paraId="123D70DB" w14:textId="77777777" w:rsidR="005A494C" w:rsidRPr="008A72AC" w:rsidRDefault="005A494C" w:rsidP="005A494C">
      <w:r w:rsidRPr="008A72AC">
        <w:rPr>
          <w:b/>
          <w:bCs/>
        </w:rPr>
        <w:t>3. Discriminare instituțională:</w:t>
      </w:r>
      <w:r w:rsidRPr="008A72AC">
        <w:br/>
        <w:t>Când practicile, cultura sau politicile unei organizații duc, intenționat sau nu, la marginalizarea unor categorii – de exemplu, lipsa rampelor pentru persoane cu dizabilități sau a informațiilor în limbaj simplificat pentru persoane cu dificultăți cognitive.</w:t>
      </w:r>
    </w:p>
    <w:p w14:paraId="5A1F49B7" w14:textId="77777777" w:rsidR="005A494C" w:rsidRPr="008A72AC" w:rsidRDefault="005A494C" w:rsidP="005A494C">
      <w:r w:rsidRPr="008A72AC">
        <w:rPr>
          <w:b/>
          <w:bCs/>
        </w:rPr>
        <w:t>4. Hărțuire:</w:t>
      </w:r>
      <w:r w:rsidRPr="008A72AC">
        <w:br/>
        <w:t>Formă de discriminare ce constă în comportamente ofensatoare, umilitoare sau intimidante, care creează un mediu ostil. Poate include remarci rasiste, glume sexiste, limbaj inadecvat sau tratament diferențiat repetat.</w:t>
      </w:r>
    </w:p>
    <w:p w14:paraId="7D5BC83E" w14:textId="77777777" w:rsidR="005A494C" w:rsidRPr="008A72AC" w:rsidRDefault="005A494C" w:rsidP="005A494C">
      <w:r w:rsidRPr="008A72AC">
        <w:rPr>
          <w:b/>
          <w:bCs/>
        </w:rPr>
        <w:t>5. Discriminarea multiplă:</w:t>
      </w:r>
      <w:r w:rsidRPr="008A72AC">
        <w:br/>
        <w:t>Afectează persoanele care se regăsesc la intersecția mai multor vulnerabilități – de exemplu, o femeie romă cu dizabilități, care se confruntă simultan cu prejudecăți etnice, de gen și de capacitate.</w:t>
      </w:r>
    </w:p>
    <w:p w14:paraId="451DFFC3" w14:textId="77777777" w:rsidR="005A494C" w:rsidRPr="008A72AC" w:rsidRDefault="005A494C" w:rsidP="005A494C">
      <w:pPr>
        <w:pStyle w:val="Heading3"/>
        <w:rPr>
          <w:lang w:val="ro-RO"/>
        </w:rPr>
      </w:pPr>
      <w:bookmarkStart w:id="20" w:name="_Toc195262223"/>
      <w:r w:rsidRPr="008A72AC">
        <w:rPr>
          <w:lang w:val="ro-RO"/>
        </w:rPr>
        <w:t>Impactul discriminării în viața profesională și socială</w:t>
      </w:r>
      <w:bookmarkEnd w:id="20"/>
    </w:p>
    <w:p w14:paraId="2AE9C4D1" w14:textId="77777777" w:rsidR="005A494C" w:rsidRPr="008A72AC" w:rsidRDefault="005A494C" w:rsidP="005A494C">
      <w:r w:rsidRPr="008A72AC">
        <w:t>Discriminarea are consecințe directe și profunde asupra individului, dar și asupra organizațiilor și societății în ansamblu. La nivel personal, aceasta afectează:</w:t>
      </w:r>
    </w:p>
    <w:p w14:paraId="65304BC2" w14:textId="77777777" w:rsidR="005A494C" w:rsidRPr="008A72AC" w:rsidRDefault="005A494C" w:rsidP="005A494C">
      <w:pPr>
        <w:numPr>
          <w:ilvl w:val="0"/>
          <w:numId w:val="27"/>
        </w:numPr>
        <w:spacing w:after="160" w:line="259" w:lineRule="auto"/>
      </w:pPr>
      <w:r w:rsidRPr="008A72AC">
        <w:t>stima de sine și sănătatea mentală;</w:t>
      </w:r>
    </w:p>
    <w:p w14:paraId="08D73669" w14:textId="77777777" w:rsidR="005A494C" w:rsidRPr="008A72AC" w:rsidRDefault="005A494C" w:rsidP="005A494C">
      <w:pPr>
        <w:numPr>
          <w:ilvl w:val="0"/>
          <w:numId w:val="27"/>
        </w:numPr>
        <w:spacing w:after="160" w:line="259" w:lineRule="auto"/>
      </w:pPr>
      <w:r w:rsidRPr="008A72AC">
        <w:t>motivația pentru învățare, muncă sau implicare civică;</w:t>
      </w:r>
    </w:p>
    <w:p w14:paraId="434F00F5" w14:textId="77777777" w:rsidR="005A494C" w:rsidRPr="008A72AC" w:rsidRDefault="005A494C" w:rsidP="005A494C">
      <w:pPr>
        <w:numPr>
          <w:ilvl w:val="0"/>
          <w:numId w:val="27"/>
        </w:numPr>
        <w:spacing w:after="160" w:line="259" w:lineRule="auto"/>
      </w:pPr>
      <w:r w:rsidRPr="008A72AC">
        <w:t>accesul la resurse, educație și oportunități reale.</w:t>
      </w:r>
    </w:p>
    <w:p w14:paraId="48E4944A" w14:textId="77777777" w:rsidR="005A494C" w:rsidRPr="008A72AC" w:rsidRDefault="005A494C" w:rsidP="005A494C">
      <w:r w:rsidRPr="008A72AC">
        <w:t>La nivel organizațional, discriminarea scade:</w:t>
      </w:r>
    </w:p>
    <w:p w14:paraId="0419BA32" w14:textId="77777777" w:rsidR="005A494C" w:rsidRPr="008A72AC" w:rsidRDefault="005A494C" w:rsidP="005A494C">
      <w:pPr>
        <w:numPr>
          <w:ilvl w:val="0"/>
          <w:numId w:val="28"/>
        </w:numPr>
        <w:spacing w:after="160" w:line="259" w:lineRule="auto"/>
      </w:pPr>
      <w:r w:rsidRPr="008A72AC">
        <w:rPr>
          <w:b/>
          <w:bCs/>
        </w:rPr>
        <w:t>diversitatea de idei și perspective</w:t>
      </w:r>
      <w:r w:rsidRPr="008A72AC">
        <w:t>, afectând creativitatea și adaptabilitatea;</w:t>
      </w:r>
    </w:p>
    <w:p w14:paraId="6A08C570" w14:textId="77777777" w:rsidR="005A494C" w:rsidRPr="008A72AC" w:rsidRDefault="005A494C" w:rsidP="005A494C">
      <w:pPr>
        <w:numPr>
          <w:ilvl w:val="0"/>
          <w:numId w:val="28"/>
        </w:numPr>
        <w:spacing w:after="160" w:line="259" w:lineRule="auto"/>
      </w:pPr>
      <w:r w:rsidRPr="008A72AC">
        <w:rPr>
          <w:b/>
          <w:bCs/>
        </w:rPr>
        <w:t>coerența echipelor</w:t>
      </w:r>
      <w:r w:rsidRPr="008A72AC">
        <w:t>, favorizând tensiuni și conflicte;</w:t>
      </w:r>
    </w:p>
    <w:p w14:paraId="6D8B3925" w14:textId="77777777" w:rsidR="005A494C" w:rsidRPr="008A72AC" w:rsidRDefault="005A494C" w:rsidP="005A494C">
      <w:pPr>
        <w:numPr>
          <w:ilvl w:val="0"/>
          <w:numId w:val="28"/>
        </w:numPr>
        <w:spacing w:after="160" w:line="259" w:lineRule="auto"/>
      </w:pPr>
      <w:r w:rsidRPr="008A72AC">
        <w:rPr>
          <w:b/>
          <w:bCs/>
        </w:rPr>
        <w:t>performanța generală</w:t>
      </w:r>
      <w:r w:rsidRPr="008A72AC">
        <w:t>, prin excluderea sau marginalizarea unor talente valoroase.</w:t>
      </w:r>
    </w:p>
    <w:p w14:paraId="111C2A05" w14:textId="77777777" w:rsidR="005A494C" w:rsidRPr="008A72AC" w:rsidRDefault="005A494C" w:rsidP="005A494C">
      <w:r w:rsidRPr="008A72AC">
        <w:lastRenderedPageBreak/>
        <w:t xml:space="preserve">Pe termen lung, o societate care tolerează discriminarea devine </w:t>
      </w:r>
      <w:r w:rsidRPr="008A72AC">
        <w:rPr>
          <w:b/>
          <w:bCs/>
        </w:rPr>
        <w:t>mai polarizată, mai inechitabilă și mai vulnerabilă la instabilitate</w:t>
      </w:r>
      <w:r w:rsidRPr="008A72AC">
        <w:t>.</w:t>
      </w:r>
    </w:p>
    <w:p w14:paraId="0084B2C0" w14:textId="77777777" w:rsidR="005A494C" w:rsidRPr="008A72AC" w:rsidRDefault="005A494C" w:rsidP="005A494C">
      <w:pPr>
        <w:pStyle w:val="Heading3"/>
        <w:rPr>
          <w:lang w:val="ro-RO"/>
        </w:rPr>
      </w:pPr>
      <w:bookmarkStart w:id="21" w:name="_Toc195262224"/>
      <w:r w:rsidRPr="008A72AC">
        <w:rPr>
          <w:lang w:val="ro-RO"/>
        </w:rPr>
        <w:t>Mecanisme de prevenire și combatere</w:t>
      </w:r>
      <w:bookmarkEnd w:id="21"/>
    </w:p>
    <w:p w14:paraId="7DCA1450" w14:textId="77777777" w:rsidR="005A494C" w:rsidRPr="008A72AC" w:rsidRDefault="005A494C" w:rsidP="005A494C">
      <w:r w:rsidRPr="008A72AC">
        <w:t>Combaterea discriminării nu poate fi realizată doar prin sancțiuni – ea necesită un efort integrat și proactiv, în care profesioniștii au un rol esențial. Măsurile pot include:</w:t>
      </w:r>
    </w:p>
    <w:p w14:paraId="4C7A337B" w14:textId="77777777" w:rsidR="005A494C" w:rsidRPr="008A72AC" w:rsidRDefault="005A494C" w:rsidP="005A494C">
      <w:r w:rsidRPr="008A72AC">
        <w:rPr>
          <w:b/>
          <w:bCs/>
        </w:rPr>
        <w:t>1. Educație și formare continuă:</w:t>
      </w:r>
      <w:r w:rsidRPr="008A72AC">
        <w:br/>
        <w:t>Sensibilizarea cu privire la drepturile fundamentale, stereotipuri, biasuri inconștiente și comunicare incluzivă. Acestea sunt esențiale în formarea profesorilor, asistenților sociali, managerilor sau angajaților din administrație publică.</w:t>
      </w:r>
    </w:p>
    <w:p w14:paraId="0715C2CA" w14:textId="77777777" w:rsidR="005A494C" w:rsidRPr="008A72AC" w:rsidRDefault="005A494C" w:rsidP="005A494C">
      <w:r w:rsidRPr="008A72AC">
        <w:rPr>
          <w:b/>
          <w:bCs/>
        </w:rPr>
        <w:t>2. Politici instituționale de diversitate și incluziune:</w:t>
      </w:r>
      <w:r w:rsidRPr="008A72AC">
        <w:br/>
        <w:t>Adoptarea unor strategii clare, cu obiective măsurabile, traininguri regulate și mecanisme de raportare a discriminării. Organizațiile pot include:</w:t>
      </w:r>
    </w:p>
    <w:p w14:paraId="68DE6F56" w14:textId="77777777" w:rsidR="005A494C" w:rsidRPr="008A72AC" w:rsidRDefault="005A494C" w:rsidP="005A494C">
      <w:pPr>
        <w:numPr>
          <w:ilvl w:val="0"/>
          <w:numId w:val="29"/>
        </w:numPr>
        <w:spacing w:after="160" w:line="259" w:lineRule="auto"/>
      </w:pPr>
      <w:r w:rsidRPr="008A72AC">
        <w:t>politici de recrutare echitabilă;</w:t>
      </w:r>
    </w:p>
    <w:p w14:paraId="386219AC" w14:textId="77777777" w:rsidR="005A494C" w:rsidRPr="008A72AC" w:rsidRDefault="005A494C" w:rsidP="005A494C">
      <w:pPr>
        <w:numPr>
          <w:ilvl w:val="0"/>
          <w:numId w:val="29"/>
        </w:numPr>
        <w:spacing w:after="160" w:line="259" w:lineRule="auto"/>
      </w:pPr>
      <w:r w:rsidRPr="008A72AC">
        <w:t>sprijin pentru adaptare la locul de muncă (ex. program flexibil pentru părinți, adaptări pentru dizabilități);</w:t>
      </w:r>
    </w:p>
    <w:p w14:paraId="267FB6C0" w14:textId="77777777" w:rsidR="005A494C" w:rsidRPr="008A72AC" w:rsidRDefault="005A494C" w:rsidP="005A494C">
      <w:pPr>
        <w:numPr>
          <w:ilvl w:val="0"/>
          <w:numId w:val="29"/>
        </w:numPr>
        <w:spacing w:after="160" w:line="259" w:lineRule="auto"/>
      </w:pPr>
      <w:r w:rsidRPr="008A72AC">
        <w:t>proceduri interne de soluționare a sesizărilor.</w:t>
      </w:r>
    </w:p>
    <w:p w14:paraId="0C92A05F" w14:textId="77777777" w:rsidR="005A494C" w:rsidRPr="008A72AC" w:rsidRDefault="005A494C" w:rsidP="005A494C">
      <w:r w:rsidRPr="008A72AC">
        <w:rPr>
          <w:b/>
          <w:bCs/>
        </w:rPr>
        <w:t>3. Comunicarea incluzivă:</w:t>
      </w:r>
      <w:r w:rsidRPr="008A72AC">
        <w:br/>
        <w:t>Utilizarea unui limbaj respectuos, accesibil, care evită stereotipurile și reflectă diversitatea. Spre exemplu, adresarea de gen neutru acolo unde este posibil, sau adaptarea materialelor pentru persoane cu dificultăți de înțelegere.</w:t>
      </w:r>
    </w:p>
    <w:p w14:paraId="701F0DF6" w14:textId="77777777" w:rsidR="005A494C" w:rsidRPr="008A72AC" w:rsidRDefault="005A494C" w:rsidP="005A494C">
      <w:r w:rsidRPr="008A72AC">
        <w:rPr>
          <w:b/>
          <w:bCs/>
        </w:rPr>
        <w:t>4. Colaborare cu comunitățile vizate:</w:t>
      </w:r>
      <w:r w:rsidRPr="008A72AC">
        <w:br/>
        <w:t xml:space="preserve">Pentru ca politicile să fie eficiente, ele trebuie </w:t>
      </w:r>
      <w:r w:rsidRPr="008A72AC">
        <w:rPr>
          <w:b/>
          <w:bCs/>
        </w:rPr>
        <w:t>co-create cu beneficiarii</w:t>
      </w:r>
      <w:r w:rsidRPr="008A72AC">
        <w:t>. Ascultarea vocilor minorităților, persoanelor marginalizate sau excluse este esențială în dezvoltarea unor soluții reale, relevante și durabile.</w:t>
      </w:r>
    </w:p>
    <w:p w14:paraId="72679212" w14:textId="77777777" w:rsidR="005A494C" w:rsidRPr="008A72AC" w:rsidRDefault="005A494C" w:rsidP="005A494C">
      <w:pPr>
        <w:pStyle w:val="Heading3"/>
        <w:rPr>
          <w:lang w:val="ro-RO"/>
        </w:rPr>
      </w:pPr>
      <w:bookmarkStart w:id="22" w:name="_Toc195262225"/>
      <w:r w:rsidRPr="008A72AC">
        <w:rPr>
          <w:lang w:val="ro-RO"/>
        </w:rPr>
        <w:t>Provocări actuale în promovarea nediscriminării</w:t>
      </w:r>
      <w:bookmarkEnd w:id="22"/>
    </w:p>
    <w:p w14:paraId="0A5BB88D" w14:textId="77777777" w:rsidR="005A494C" w:rsidRPr="008A72AC" w:rsidRDefault="005A494C" w:rsidP="005A494C">
      <w:r w:rsidRPr="008A72AC">
        <w:t>Chiar și cu un cadru legal relativ clar, aplicarea în practică rămâne dificilă. Printre principalele provocări se numără:</w:t>
      </w:r>
    </w:p>
    <w:p w14:paraId="7BC39E02" w14:textId="77777777" w:rsidR="005A494C" w:rsidRPr="008A72AC" w:rsidRDefault="005A494C" w:rsidP="005A494C">
      <w:pPr>
        <w:numPr>
          <w:ilvl w:val="0"/>
          <w:numId w:val="30"/>
        </w:numPr>
        <w:spacing w:after="160" w:line="259" w:lineRule="auto"/>
      </w:pPr>
      <w:r w:rsidRPr="008A72AC">
        <w:rPr>
          <w:b/>
          <w:bCs/>
        </w:rPr>
        <w:t>Lipsa de cunoaștere a drepturilor</w:t>
      </w:r>
      <w:r w:rsidRPr="008A72AC">
        <w:t xml:space="preserve"> în rândul populației generale;</w:t>
      </w:r>
    </w:p>
    <w:p w14:paraId="1A91BA0D" w14:textId="77777777" w:rsidR="005A494C" w:rsidRPr="008A72AC" w:rsidRDefault="005A494C" w:rsidP="005A494C">
      <w:pPr>
        <w:numPr>
          <w:ilvl w:val="0"/>
          <w:numId w:val="30"/>
        </w:numPr>
        <w:spacing w:after="160" w:line="259" w:lineRule="auto"/>
      </w:pPr>
      <w:r w:rsidRPr="008A72AC">
        <w:rPr>
          <w:b/>
          <w:bCs/>
        </w:rPr>
        <w:t>Sub-raportarea cazurilor de discriminare</w:t>
      </w:r>
      <w:r w:rsidRPr="008A72AC">
        <w:t>, din teamă, lipsă de încredere sau normalizarea abuzurilor;</w:t>
      </w:r>
    </w:p>
    <w:p w14:paraId="639B39FF" w14:textId="77777777" w:rsidR="005A494C" w:rsidRPr="008A72AC" w:rsidRDefault="005A494C" w:rsidP="005A494C">
      <w:pPr>
        <w:numPr>
          <w:ilvl w:val="0"/>
          <w:numId w:val="30"/>
        </w:numPr>
        <w:spacing w:after="160" w:line="259" w:lineRule="auto"/>
      </w:pPr>
      <w:r w:rsidRPr="008A72AC">
        <w:rPr>
          <w:b/>
          <w:bCs/>
        </w:rPr>
        <w:t>Biasurile inconștiente</w:t>
      </w:r>
      <w:r w:rsidRPr="008A72AC">
        <w:t xml:space="preserve"> – dificultatea de a conștientiza propriile prejudecăți chiar și de către profesioniști cu bune intenții;</w:t>
      </w:r>
    </w:p>
    <w:p w14:paraId="550CCB18" w14:textId="77777777" w:rsidR="005A494C" w:rsidRPr="008A72AC" w:rsidRDefault="005A494C" w:rsidP="005A494C">
      <w:pPr>
        <w:numPr>
          <w:ilvl w:val="0"/>
          <w:numId w:val="30"/>
        </w:numPr>
        <w:spacing w:after="160" w:line="259" w:lineRule="auto"/>
      </w:pPr>
      <w:r w:rsidRPr="008A72AC">
        <w:rPr>
          <w:b/>
          <w:bCs/>
        </w:rPr>
        <w:lastRenderedPageBreak/>
        <w:t>Lipsa mecanismelor clare de sprijin</w:t>
      </w:r>
      <w:r w:rsidRPr="008A72AC">
        <w:t xml:space="preserve"> în instituții – multe organizații nu au departamente de diversitate, coduri de conduită, sau persoane responsabile cu incluziunea.</w:t>
      </w:r>
    </w:p>
    <w:p w14:paraId="66D8414A" w14:textId="77777777" w:rsidR="005A494C" w:rsidRPr="008A72AC" w:rsidRDefault="005A494C" w:rsidP="005A494C">
      <w:pPr>
        <w:pStyle w:val="Heading3"/>
        <w:rPr>
          <w:lang w:val="ro-RO"/>
        </w:rPr>
      </w:pPr>
      <w:bookmarkStart w:id="23" w:name="_Toc195262226"/>
      <w:r w:rsidRPr="008A72AC">
        <w:rPr>
          <w:lang w:val="ro-RO"/>
        </w:rPr>
        <w:t>Rolul profesioniștilor în crearea unei culturi a echității</w:t>
      </w:r>
      <w:bookmarkEnd w:id="23"/>
    </w:p>
    <w:p w14:paraId="114DB177" w14:textId="77777777" w:rsidR="005A494C" w:rsidRPr="008A72AC" w:rsidRDefault="005A494C" w:rsidP="005A494C">
      <w:r w:rsidRPr="008A72AC">
        <w:t>Fie că lucrează în educație, sănătate, administrație publică sau sectorul privat, profesioniștii sunt vectori de influență. Prin comportamente, decizii, modele de lucru și atitudini, ei pot crea un mediu:</w:t>
      </w:r>
    </w:p>
    <w:p w14:paraId="6C9DE630" w14:textId="77777777" w:rsidR="005A494C" w:rsidRPr="008A72AC" w:rsidRDefault="005A494C" w:rsidP="005A494C">
      <w:pPr>
        <w:numPr>
          <w:ilvl w:val="0"/>
          <w:numId w:val="31"/>
        </w:numPr>
        <w:spacing w:after="160" w:line="259" w:lineRule="auto"/>
      </w:pPr>
      <w:r w:rsidRPr="008A72AC">
        <w:rPr>
          <w:b/>
          <w:bCs/>
        </w:rPr>
        <w:t>inclusiv</w:t>
      </w:r>
      <w:r w:rsidRPr="008A72AC">
        <w:t>, unde fiecare persoană se simte respectată și valorizată;</w:t>
      </w:r>
    </w:p>
    <w:p w14:paraId="0094B5FA" w14:textId="77777777" w:rsidR="005A494C" w:rsidRPr="008A72AC" w:rsidRDefault="005A494C" w:rsidP="005A494C">
      <w:pPr>
        <w:numPr>
          <w:ilvl w:val="0"/>
          <w:numId w:val="31"/>
        </w:numPr>
        <w:spacing w:after="160" w:line="259" w:lineRule="auto"/>
      </w:pPr>
      <w:r w:rsidRPr="008A72AC">
        <w:rPr>
          <w:b/>
          <w:bCs/>
        </w:rPr>
        <w:t>sigur</w:t>
      </w:r>
      <w:r w:rsidRPr="008A72AC">
        <w:t>, în care diferențele nu generează frică sau respingere;</w:t>
      </w:r>
    </w:p>
    <w:p w14:paraId="6415F915" w14:textId="77777777" w:rsidR="005A494C" w:rsidRPr="008A72AC" w:rsidRDefault="005A494C" w:rsidP="005A494C">
      <w:pPr>
        <w:numPr>
          <w:ilvl w:val="0"/>
          <w:numId w:val="31"/>
        </w:numPr>
        <w:spacing w:after="160" w:line="259" w:lineRule="auto"/>
      </w:pPr>
      <w:r w:rsidRPr="008A72AC">
        <w:rPr>
          <w:b/>
          <w:bCs/>
        </w:rPr>
        <w:t>echitabil</w:t>
      </w:r>
      <w:r w:rsidRPr="008A72AC">
        <w:t>, unde șansele sunt reale și nu doar formale.</w:t>
      </w:r>
    </w:p>
    <w:p w14:paraId="3A017C7D" w14:textId="77777777" w:rsidR="005A494C" w:rsidRPr="008A72AC" w:rsidRDefault="005A494C" w:rsidP="005A494C">
      <w:r w:rsidRPr="008A72AC">
        <w:t xml:space="preserve">Aceasta implică nu doar respectarea literei legii, ci și </w:t>
      </w:r>
      <w:r w:rsidRPr="008A72AC">
        <w:rPr>
          <w:b/>
          <w:bCs/>
        </w:rPr>
        <w:t>cultivarea unei etici a grijii și responsabilității</w:t>
      </w:r>
      <w:r w:rsidRPr="008A72AC">
        <w:t xml:space="preserve"> față de ceilalți. Un simplu gest de includere – cum ar fi adaptarea unei activități pentru un coleg cu dizabilități sau sprijinirea unui tânăr rom în procesul de angajare – poate schimba radical un destin.</w:t>
      </w:r>
    </w:p>
    <w:p w14:paraId="66118EE4" w14:textId="77777777" w:rsidR="005A494C" w:rsidRPr="008A72AC" w:rsidRDefault="005A494C" w:rsidP="005A494C">
      <w:r>
        <w:pict w14:anchorId="1AC087CF">
          <v:rect id="_x0000_i1027" style="width:0;height:1.5pt" o:hralign="center" o:hrstd="t" o:hr="t" fillcolor="#a0a0a0" stroked="f"/>
        </w:pict>
      </w:r>
    </w:p>
    <w:p w14:paraId="4AA3A59B" w14:textId="77777777" w:rsidR="005A494C" w:rsidRPr="008A72AC" w:rsidRDefault="005A494C" w:rsidP="005A494C">
      <w:pPr>
        <w:pStyle w:val="Heading2"/>
        <w:rPr>
          <w:lang w:val="ro-RO"/>
        </w:rPr>
      </w:pPr>
      <w:bookmarkStart w:id="24" w:name="_Toc195262227"/>
      <w:r w:rsidRPr="008A72AC">
        <w:rPr>
          <w:lang w:val="ro-RO"/>
        </w:rPr>
        <w:t>Concluzie finală:</w:t>
      </w:r>
      <w:bookmarkEnd w:id="24"/>
    </w:p>
    <w:p w14:paraId="031510EA" w14:textId="77777777" w:rsidR="005A494C" w:rsidRPr="008A72AC" w:rsidRDefault="005A494C" w:rsidP="005A494C">
      <w:r w:rsidRPr="008A72AC">
        <w:t xml:space="preserve">Nediscriminarea este piatra de temelie a unei societăți moderne și sănătoase. Ea nu se reduce la respectarea unor norme, ci presupune un angajament profund față de demnitatea umană, echitate și dreptate socială. Profesioniștii joacă un rol de neînlocuit în acest proces, fiind cei care pot transforma regulile în practici vii și organizațiile în spații incluzive și sigure pentru toți. Într-un secol al diversității, </w:t>
      </w:r>
      <w:r w:rsidRPr="008A72AC">
        <w:rPr>
          <w:b/>
          <w:bCs/>
        </w:rPr>
        <w:t>competențele legate de incluziune și echitate nu mai sunt opționale – ci esențiale</w:t>
      </w:r>
      <w:r w:rsidRPr="008A72AC">
        <w:t>.</w:t>
      </w:r>
    </w:p>
    <w:p w14:paraId="5B887168" w14:textId="77777777" w:rsidR="005A494C" w:rsidRDefault="005A494C" w:rsidP="005A494C"/>
    <w:p w14:paraId="7CAB968B" w14:textId="77777777" w:rsidR="005A494C" w:rsidRPr="008A72AC" w:rsidRDefault="005A494C" w:rsidP="005A494C">
      <w:pPr>
        <w:pStyle w:val="Heading2"/>
        <w:rPr>
          <w:lang w:val="ro-RO"/>
        </w:rPr>
      </w:pPr>
      <w:bookmarkStart w:id="25" w:name="_Toc195262228"/>
      <w:r w:rsidRPr="008A72AC">
        <w:rPr>
          <w:lang w:val="ro-RO"/>
        </w:rPr>
        <w:t>Concluzii finale</w:t>
      </w:r>
      <w:bookmarkEnd w:id="25"/>
    </w:p>
    <w:p w14:paraId="5DBB4C2E" w14:textId="77777777" w:rsidR="005A494C" w:rsidRPr="008A72AC" w:rsidRDefault="005A494C" w:rsidP="005A494C">
      <w:r w:rsidRPr="008A72AC">
        <w:t xml:space="preserve">În fața provocărilor globale și a complexității problemelor sociale, avem nevoie de profesioniști care nu doar implementează politici și proiecte, ci care </w:t>
      </w:r>
      <w:r w:rsidRPr="008A72AC">
        <w:rPr>
          <w:b/>
          <w:bCs/>
        </w:rPr>
        <w:t>gândesc sistemic, acționează etic și inovează cu responsabilitate</w:t>
      </w:r>
      <w:r w:rsidRPr="008A72AC">
        <w:t>. Acest material a încercat să aducă în prim-plan trei piloni care pot susține o astfel de atitudine profesională:</w:t>
      </w:r>
    </w:p>
    <w:p w14:paraId="756659F3" w14:textId="77777777" w:rsidR="005A494C" w:rsidRPr="008A72AC" w:rsidRDefault="005A494C" w:rsidP="005A494C">
      <w:pPr>
        <w:numPr>
          <w:ilvl w:val="0"/>
          <w:numId w:val="32"/>
        </w:numPr>
        <w:spacing w:after="160" w:line="259" w:lineRule="auto"/>
      </w:pPr>
      <w:r w:rsidRPr="008A72AC">
        <w:rPr>
          <w:b/>
          <w:bCs/>
        </w:rPr>
        <w:t>Inovarea socială</w:t>
      </w:r>
      <w:r w:rsidRPr="008A72AC">
        <w:t>, ca răspuns creativ și colaborativ la nevoi comunitare profunde;</w:t>
      </w:r>
    </w:p>
    <w:p w14:paraId="7295A5ED" w14:textId="77777777" w:rsidR="005A494C" w:rsidRPr="008A72AC" w:rsidRDefault="005A494C" w:rsidP="005A494C">
      <w:pPr>
        <w:numPr>
          <w:ilvl w:val="0"/>
          <w:numId w:val="32"/>
        </w:numPr>
        <w:spacing w:after="160" w:line="259" w:lineRule="auto"/>
      </w:pPr>
      <w:r w:rsidRPr="008A72AC">
        <w:rPr>
          <w:b/>
          <w:bCs/>
        </w:rPr>
        <w:t>Accesul și utilizarea echitabilă a TIC</w:t>
      </w:r>
      <w:r w:rsidRPr="008A72AC">
        <w:t>, ca mijloc de democratizare a oportunităților;</w:t>
      </w:r>
    </w:p>
    <w:p w14:paraId="720B6F9A" w14:textId="77777777" w:rsidR="005A494C" w:rsidRPr="008A72AC" w:rsidRDefault="005A494C" w:rsidP="005A494C">
      <w:pPr>
        <w:numPr>
          <w:ilvl w:val="0"/>
          <w:numId w:val="32"/>
        </w:numPr>
        <w:spacing w:after="160" w:line="259" w:lineRule="auto"/>
      </w:pPr>
      <w:r w:rsidRPr="008A72AC">
        <w:rPr>
          <w:b/>
          <w:bCs/>
        </w:rPr>
        <w:t>Nediscriminarea</w:t>
      </w:r>
      <w:r w:rsidRPr="008A72AC">
        <w:t>, ca valoare-fundament a coeziunii și a demnității umane.</w:t>
      </w:r>
    </w:p>
    <w:p w14:paraId="3BC5668C" w14:textId="77777777" w:rsidR="005A494C" w:rsidRPr="008A72AC" w:rsidRDefault="005A494C" w:rsidP="005A494C">
      <w:r w:rsidRPr="008A72AC">
        <w:t xml:space="preserve">Toate aceste dimensiuni reclamă mai mult decât competență tehnică – ele presupun </w:t>
      </w:r>
      <w:r w:rsidRPr="008A72AC">
        <w:rPr>
          <w:b/>
          <w:bCs/>
        </w:rPr>
        <w:t>curaj, empatie, deschidere spre dialog și disponibilitate pentru a învăța permanent</w:t>
      </w:r>
      <w:r w:rsidRPr="008A72AC">
        <w:t>. Fiecare profesionist poate fi un actor al schimbării, iar fiecare organizație poate deveni un laborator de incluziune și inovație, dacă își asumă aceste principii.</w:t>
      </w:r>
    </w:p>
    <w:p w14:paraId="1EFBEF97" w14:textId="77777777" w:rsidR="005A494C" w:rsidRPr="008A72AC" w:rsidRDefault="005A494C" w:rsidP="005A494C">
      <w:r w:rsidRPr="008A72AC">
        <w:lastRenderedPageBreak/>
        <w:t xml:space="preserve">Într-o lume în continuă transformare, </w:t>
      </w:r>
      <w:r w:rsidRPr="008A72AC">
        <w:rPr>
          <w:b/>
          <w:bCs/>
        </w:rPr>
        <w:t>singura constantă reală este nevoia de a rămâne umani</w:t>
      </w:r>
      <w:r w:rsidRPr="008A72AC">
        <w:t xml:space="preserve"> – în alegeri, în relații și în felul în care ne construim viitorul. Iar acest viitor nu se proiectează individual, ci împreună.</w:t>
      </w:r>
    </w:p>
    <w:p w14:paraId="42232875" w14:textId="77777777" w:rsidR="005A494C" w:rsidRDefault="005A494C" w:rsidP="005A494C"/>
    <w:p w14:paraId="630A3A77" w14:textId="77777777" w:rsidR="00AE00A9" w:rsidRDefault="00AE00A9" w:rsidP="005A494C">
      <w:pPr>
        <w:rPr>
          <w:rFonts w:ascii="Arial Narrow" w:hAnsi="Arial Narrow"/>
          <w:b/>
          <w:sz w:val="24"/>
          <w:szCs w:val="24"/>
        </w:rPr>
      </w:pPr>
    </w:p>
    <w:p w14:paraId="153110E9" w14:textId="77777777" w:rsidR="006006D2" w:rsidRPr="00AE00A9" w:rsidRDefault="006006D2" w:rsidP="00AE00A9">
      <w:pPr>
        <w:rPr>
          <w:rFonts w:ascii="Arial Narrow" w:hAnsi="Arial Narrow"/>
          <w:b/>
          <w:sz w:val="24"/>
          <w:szCs w:val="24"/>
        </w:rPr>
      </w:pPr>
    </w:p>
    <w:sectPr w:rsidR="006006D2" w:rsidRPr="00AE00A9" w:rsidSect="000520C5">
      <w:headerReference w:type="default" r:id="rId8"/>
      <w:footerReference w:type="default" r:id="rId9"/>
      <w:type w:val="continuous"/>
      <w:pgSz w:w="11907" w:h="16839" w:code="9"/>
      <w:pgMar w:top="1411" w:right="1411" w:bottom="1411" w:left="1411" w:header="567"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CA0B" w14:textId="77777777" w:rsidR="00594404" w:rsidRDefault="00594404" w:rsidP="00E25EC4">
      <w:pPr>
        <w:spacing w:after="0" w:line="240" w:lineRule="auto"/>
      </w:pPr>
      <w:r>
        <w:separator/>
      </w:r>
    </w:p>
  </w:endnote>
  <w:endnote w:type="continuationSeparator" w:id="0">
    <w:p w14:paraId="1F7AEE20" w14:textId="77777777" w:rsidR="00594404" w:rsidRDefault="00594404" w:rsidP="00E25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C2BD3" w14:textId="51429862" w:rsidR="00B01F32" w:rsidRDefault="00A5058C" w:rsidP="00A5058C">
    <w:pPr>
      <w:pStyle w:val="Footer"/>
      <w:jc w:val="center"/>
    </w:pPr>
    <w:r>
      <w:rPr>
        <w:noProof/>
        <w:lang w:val="en-US"/>
      </w:rPr>
      <w:drawing>
        <wp:anchor distT="0" distB="0" distL="114300" distR="114300" simplePos="0" relativeHeight="251659264" behindDoc="0" locked="0" layoutInCell="1" allowOverlap="1" wp14:anchorId="5B3178CD" wp14:editId="37760D82">
          <wp:simplePos x="0" y="0"/>
          <wp:positionH relativeFrom="margin">
            <wp:posOffset>511175</wp:posOffset>
          </wp:positionH>
          <wp:positionV relativeFrom="paragraph">
            <wp:posOffset>21590</wp:posOffset>
          </wp:positionV>
          <wp:extent cx="1423670" cy="713105"/>
          <wp:effectExtent l="0" t="0" r="5080" b="0"/>
          <wp:wrapSquare wrapText="bothSides"/>
          <wp:docPr id="353"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efop-logo-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3670" cy="71310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Pr>
        <w:noProof/>
      </w:rPr>
      <w:drawing>
        <wp:inline distT="0" distB="0" distL="0" distR="0" wp14:anchorId="056ACF78" wp14:editId="23177C9E">
          <wp:extent cx="2091055" cy="731520"/>
          <wp:effectExtent l="0" t="0" r="4445" b="0"/>
          <wp:docPr id="1" name="Picture 1" descr="A blu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white background&#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1055" cy="73152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6E969" w14:textId="77777777" w:rsidR="00594404" w:rsidRDefault="00594404" w:rsidP="00E25EC4">
      <w:pPr>
        <w:spacing w:after="0" w:line="240" w:lineRule="auto"/>
      </w:pPr>
      <w:r>
        <w:separator/>
      </w:r>
    </w:p>
  </w:footnote>
  <w:footnote w:type="continuationSeparator" w:id="0">
    <w:p w14:paraId="2258A0F5" w14:textId="77777777" w:rsidR="00594404" w:rsidRDefault="00594404" w:rsidP="00E25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3030"/>
      <w:gridCol w:w="3019"/>
      <w:gridCol w:w="3036"/>
    </w:tblGrid>
    <w:tr w:rsidR="00B01F32" w:rsidRPr="00E25EC4" w14:paraId="4F9F5A50" w14:textId="77777777" w:rsidTr="008D4F66">
      <w:trPr>
        <w:trHeight w:val="1124"/>
      </w:trPr>
      <w:tc>
        <w:tcPr>
          <w:tcW w:w="3100" w:type="dxa"/>
          <w:shd w:val="clear" w:color="auto" w:fill="auto"/>
        </w:tcPr>
        <w:p w14:paraId="1464D316" w14:textId="77777777" w:rsidR="00B01F32" w:rsidRPr="00E25EC4" w:rsidRDefault="00B01F32" w:rsidP="008D4F66">
          <w:pPr>
            <w:pStyle w:val="Header"/>
            <w:jc w:val="center"/>
            <w:rPr>
              <w:b/>
            </w:rPr>
          </w:pPr>
          <w:r w:rsidRPr="00E25EC4">
            <w:rPr>
              <w:b/>
              <w:noProof/>
              <w:lang w:val="en-US"/>
            </w:rPr>
            <w:drawing>
              <wp:inline distT="0" distB="0" distL="0" distR="0" wp14:anchorId="6ACFB246" wp14:editId="3CF707DD">
                <wp:extent cx="903000" cy="720000"/>
                <wp:effectExtent l="0" t="0" r="0" b="4445"/>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
                          <a:extLst>
                            <a:ext uri="{28A0092B-C50C-407E-A947-70E740481C1C}">
                              <a14:useLocalDpi xmlns:a14="http://schemas.microsoft.com/office/drawing/2010/main" val="0"/>
                            </a:ext>
                          </a:extLst>
                        </a:blip>
                        <a:srcRect l="5768" t="13143" r="7431" b="12854"/>
                        <a:stretch/>
                      </pic:blipFill>
                      <pic:spPr bwMode="auto">
                        <a:xfrm>
                          <a:off x="0" y="0"/>
                          <a:ext cx="9030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0" w:type="dxa"/>
          <w:shd w:val="clear" w:color="auto" w:fill="auto"/>
        </w:tcPr>
        <w:p w14:paraId="7B02AC89" w14:textId="77777777" w:rsidR="00B01F32" w:rsidRPr="00E25EC4" w:rsidRDefault="00B01F32" w:rsidP="008D4F66">
          <w:pPr>
            <w:pStyle w:val="Header"/>
            <w:jc w:val="center"/>
            <w:rPr>
              <w:b/>
            </w:rPr>
          </w:pPr>
          <w:r w:rsidRPr="00E25EC4">
            <w:rPr>
              <w:b/>
              <w:bCs/>
              <w:noProof/>
              <w:lang w:val="en-US"/>
            </w:rPr>
            <w:drawing>
              <wp:inline distT="0" distB="0" distL="0" distR="0" wp14:anchorId="6BF57A6E" wp14:editId="4366C34C">
                <wp:extent cx="755267" cy="720000"/>
                <wp:effectExtent l="0" t="0" r="6985" b="4445"/>
                <wp:docPr id="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2">
                          <a:extLst>
                            <a:ext uri="{28A0092B-C50C-407E-A947-70E740481C1C}">
                              <a14:useLocalDpi xmlns:a14="http://schemas.microsoft.com/office/drawing/2010/main" val="0"/>
                            </a:ext>
                          </a:extLst>
                        </a:blip>
                        <a:srcRect l="6628" t="3089" r="8202" b="2315"/>
                        <a:stretch/>
                      </pic:blipFill>
                      <pic:spPr bwMode="auto">
                        <a:xfrm>
                          <a:off x="0" y="0"/>
                          <a:ext cx="755267"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101" w:type="dxa"/>
          <w:shd w:val="clear" w:color="auto" w:fill="auto"/>
        </w:tcPr>
        <w:p w14:paraId="30A1F0CB" w14:textId="77777777" w:rsidR="00B01F32" w:rsidRPr="00E25EC4" w:rsidRDefault="00B01F32" w:rsidP="008D4F66">
          <w:pPr>
            <w:pStyle w:val="Header"/>
            <w:jc w:val="center"/>
            <w:rPr>
              <w:b/>
            </w:rPr>
          </w:pPr>
          <w:r w:rsidRPr="00E25EC4">
            <w:rPr>
              <w:b/>
              <w:bCs/>
              <w:noProof/>
              <w:lang w:val="en-US"/>
            </w:rPr>
            <w:drawing>
              <wp:inline distT="0" distB="0" distL="0" distR="0" wp14:anchorId="585F25D5" wp14:editId="553B3372">
                <wp:extent cx="965454" cy="936000"/>
                <wp:effectExtent l="0" t="0" r="635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3">
                          <a:extLst>
                            <a:ext uri="{28A0092B-C50C-407E-A947-70E740481C1C}">
                              <a14:useLocalDpi xmlns:a14="http://schemas.microsoft.com/office/drawing/2010/main" val="0"/>
                            </a:ext>
                          </a:extLst>
                        </a:blip>
                        <a:srcRect l="4084" t="-1" r="9570" b="5912"/>
                        <a:stretch/>
                      </pic:blipFill>
                      <pic:spPr bwMode="auto">
                        <a:xfrm>
                          <a:off x="0" y="0"/>
                          <a:ext cx="965454" cy="936000"/>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8D309FD" w14:textId="5969CA06" w:rsidR="00516AC6" w:rsidRDefault="38B164AF" w:rsidP="38B164AF">
    <w:pPr>
      <w:pStyle w:val="Header"/>
      <w:rPr>
        <w:sz w:val="20"/>
        <w:szCs w:val="20"/>
        <w:lang w:val="es-ES"/>
      </w:rPr>
    </w:pPr>
    <w:proofErr w:type="spellStart"/>
    <w:r w:rsidRPr="38B164AF">
      <w:rPr>
        <w:sz w:val="20"/>
        <w:szCs w:val="20"/>
        <w:lang w:val="es-ES"/>
      </w:rPr>
      <w:t>Titlul</w:t>
    </w:r>
    <w:proofErr w:type="spellEnd"/>
    <w:r w:rsidRPr="38B164AF">
      <w:rPr>
        <w:sz w:val="20"/>
        <w:szCs w:val="20"/>
        <w:lang w:val="es-ES"/>
      </w:rPr>
      <w:t xml:space="preserve"> </w:t>
    </w:r>
    <w:proofErr w:type="spellStart"/>
    <w:r w:rsidRPr="38B164AF">
      <w:rPr>
        <w:sz w:val="20"/>
        <w:szCs w:val="20"/>
        <w:lang w:val="es-ES"/>
      </w:rPr>
      <w:t>Proiectului</w:t>
    </w:r>
    <w:proofErr w:type="spellEnd"/>
    <w:r w:rsidRPr="38B164AF">
      <w:rPr>
        <w:sz w:val="20"/>
        <w:szCs w:val="20"/>
        <w:lang w:val="es-ES"/>
      </w:rPr>
      <w:t>: Profesional</w:t>
    </w:r>
  </w:p>
  <w:p w14:paraId="2332F592" w14:textId="4F4FFD70" w:rsidR="00516AC6" w:rsidRPr="008D4F66" w:rsidRDefault="38B164AF" w:rsidP="38B164AF">
    <w:pPr>
      <w:pStyle w:val="Header"/>
      <w:rPr>
        <w:sz w:val="20"/>
        <w:szCs w:val="20"/>
        <w:lang w:val="es-ES"/>
      </w:rPr>
    </w:pPr>
    <w:r w:rsidRPr="38B164AF">
      <w:rPr>
        <w:sz w:val="20"/>
        <w:szCs w:val="20"/>
        <w:lang w:val="es-ES"/>
      </w:rPr>
      <w:t xml:space="preserve">Cod </w:t>
    </w:r>
    <w:proofErr w:type="spellStart"/>
    <w:r w:rsidRPr="38B164AF">
      <w:rPr>
        <w:sz w:val="20"/>
        <w:szCs w:val="20"/>
        <w:lang w:val="es-ES"/>
      </w:rPr>
      <w:t>MySMIS</w:t>
    </w:r>
    <w:proofErr w:type="spellEnd"/>
    <w:r w:rsidRPr="38B164AF">
      <w:rPr>
        <w:sz w:val="20"/>
        <w:szCs w:val="20"/>
        <w:lang w:val="es-ES"/>
      </w:rPr>
      <w:t>: 135431</w:t>
    </w:r>
  </w:p>
  <w:p w14:paraId="7503A087" w14:textId="77777777" w:rsidR="00516AC6" w:rsidRPr="006F52D3" w:rsidRDefault="00516AC6" w:rsidP="00516AC6">
    <w:pPr>
      <w:pStyle w:val="Header"/>
      <w:rPr>
        <w:sz w:val="20"/>
        <w:szCs w:val="20"/>
        <w:lang w:val="es-ES_tradnl"/>
      </w:rPr>
    </w:pPr>
    <w:proofErr w:type="spellStart"/>
    <w:r w:rsidRPr="008D4F66">
      <w:rPr>
        <w:sz w:val="20"/>
        <w:szCs w:val="20"/>
        <w:lang w:val="en-US"/>
      </w:rPr>
      <w:t>Proiect</w:t>
    </w:r>
    <w:proofErr w:type="spellEnd"/>
    <w:r w:rsidRPr="008D4F66">
      <w:rPr>
        <w:sz w:val="20"/>
        <w:szCs w:val="20"/>
        <w:lang w:val="en-US"/>
      </w:rPr>
      <w:t xml:space="preserve"> </w:t>
    </w:r>
    <w:proofErr w:type="spellStart"/>
    <w:r w:rsidRPr="008D4F66">
      <w:rPr>
        <w:sz w:val="20"/>
        <w:szCs w:val="20"/>
        <w:lang w:val="en-US"/>
      </w:rPr>
      <w:t>cofinanţat</w:t>
    </w:r>
    <w:proofErr w:type="spellEnd"/>
    <w:r w:rsidRPr="008D4F66">
      <w:rPr>
        <w:sz w:val="20"/>
        <w:szCs w:val="20"/>
        <w:lang w:val="en-US"/>
      </w:rPr>
      <w:t xml:space="preserve"> din Fondul </w:t>
    </w:r>
    <w:r>
      <w:rPr>
        <w:sz w:val="20"/>
        <w:szCs w:val="20"/>
        <w:lang w:val="en-US"/>
      </w:rPr>
      <w:t>Social European</w:t>
    </w:r>
    <w:r w:rsidRPr="008D4F66">
      <w:rPr>
        <w:sz w:val="20"/>
        <w:szCs w:val="20"/>
        <w:lang w:val="en-US"/>
      </w:rPr>
      <w:t xml:space="preserve"> </w:t>
    </w:r>
    <w:proofErr w:type="spellStart"/>
    <w:r w:rsidRPr="006F52D3">
      <w:rPr>
        <w:sz w:val="20"/>
        <w:szCs w:val="20"/>
        <w:lang w:val="es-ES_tradnl"/>
      </w:rPr>
      <w:t>prin</w:t>
    </w:r>
    <w:proofErr w:type="spellEnd"/>
    <w:r w:rsidRPr="006F52D3">
      <w:rPr>
        <w:sz w:val="20"/>
        <w:szCs w:val="20"/>
        <w:lang w:val="es-ES_tradnl"/>
      </w:rPr>
      <w:t xml:space="preserve"> </w:t>
    </w:r>
    <w:proofErr w:type="spellStart"/>
    <w:r w:rsidRPr="006F52D3">
      <w:rPr>
        <w:sz w:val="20"/>
        <w:szCs w:val="20"/>
        <w:lang w:val="es-ES_tradnl"/>
      </w:rPr>
      <w:t>Programul</w:t>
    </w:r>
    <w:proofErr w:type="spellEnd"/>
    <w:r w:rsidRPr="006F52D3">
      <w:rPr>
        <w:sz w:val="20"/>
        <w:szCs w:val="20"/>
        <w:lang w:val="es-ES_tradnl"/>
      </w:rPr>
      <w:t xml:space="preserve"> </w:t>
    </w:r>
    <w:proofErr w:type="spellStart"/>
    <w:r w:rsidRPr="006F52D3">
      <w:rPr>
        <w:sz w:val="20"/>
        <w:szCs w:val="20"/>
        <w:lang w:val="es-ES_tradnl"/>
      </w:rPr>
      <w:t>Operaţional</w:t>
    </w:r>
    <w:proofErr w:type="spellEnd"/>
    <w:r w:rsidRPr="006F52D3">
      <w:rPr>
        <w:sz w:val="20"/>
        <w:szCs w:val="20"/>
        <w:lang w:val="es-ES_tradnl"/>
      </w:rPr>
      <w:t xml:space="preserve"> Capital </w:t>
    </w:r>
    <w:proofErr w:type="spellStart"/>
    <w:r w:rsidRPr="006F52D3">
      <w:rPr>
        <w:sz w:val="20"/>
        <w:szCs w:val="20"/>
        <w:lang w:val="es-ES_tradnl"/>
      </w:rPr>
      <w:t>Uman</w:t>
    </w:r>
    <w:proofErr w:type="spellEnd"/>
  </w:p>
  <w:p w14:paraId="6AE06DD8" w14:textId="77777777" w:rsidR="00B01F32" w:rsidRPr="006F52D3" w:rsidRDefault="00B01F32" w:rsidP="00E64E55">
    <w:pPr>
      <w:pStyle w:val="Header"/>
      <w:rPr>
        <w:sz w:val="20"/>
        <w:szCs w:val="20"/>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00000009"/>
    <w:name w:val="WW8Num11"/>
    <w:lvl w:ilvl="0">
      <w:start w:val="1"/>
      <w:numFmt w:val="bullet"/>
      <w:lvlText w:val=""/>
      <w:lvlJc w:val="left"/>
      <w:pPr>
        <w:tabs>
          <w:tab w:val="num" w:pos="0"/>
        </w:tabs>
        <w:ind w:left="2520" w:hanging="360"/>
      </w:pPr>
      <w:rPr>
        <w:rFonts w:ascii="Symbol" w:hAnsi="Symbol"/>
      </w:rPr>
    </w:lvl>
  </w:abstractNum>
  <w:abstractNum w:abstractNumId="1" w15:restartNumberingAfterBreak="0">
    <w:nsid w:val="0000001B"/>
    <w:multiLevelType w:val="singleLevel"/>
    <w:tmpl w:val="0000001B"/>
    <w:name w:val="WW8Num32"/>
    <w:lvl w:ilvl="0">
      <w:start w:val="1"/>
      <w:numFmt w:val="bullet"/>
      <w:lvlText w:val=""/>
      <w:lvlJc w:val="left"/>
      <w:pPr>
        <w:tabs>
          <w:tab w:val="num" w:pos="0"/>
        </w:tabs>
        <w:ind w:left="1440" w:hanging="360"/>
      </w:pPr>
      <w:rPr>
        <w:rFonts w:ascii="Symbol" w:hAnsi="Symbol"/>
      </w:rPr>
    </w:lvl>
  </w:abstractNum>
  <w:abstractNum w:abstractNumId="2" w15:restartNumberingAfterBreak="0">
    <w:nsid w:val="02CC78CE"/>
    <w:multiLevelType w:val="multilevel"/>
    <w:tmpl w:val="81CA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44CAB"/>
    <w:multiLevelType w:val="multilevel"/>
    <w:tmpl w:val="20E8E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DA3379"/>
    <w:multiLevelType w:val="multilevel"/>
    <w:tmpl w:val="C73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07DDB"/>
    <w:multiLevelType w:val="multilevel"/>
    <w:tmpl w:val="1168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636D"/>
    <w:multiLevelType w:val="multilevel"/>
    <w:tmpl w:val="0DC0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543F2C"/>
    <w:multiLevelType w:val="hybridMultilevel"/>
    <w:tmpl w:val="40A6A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B66124"/>
    <w:multiLevelType w:val="multilevel"/>
    <w:tmpl w:val="CC36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7E53F1"/>
    <w:multiLevelType w:val="multilevel"/>
    <w:tmpl w:val="069AA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6113AB"/>
    <w:multiLevelType w:val="multilevel"/>
    <w:tmpl w:val="9380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577446"/>
    <w:multiLevelType w:val="multilevel"/>
    <w:tmpl w:val="F19A2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51685"/>
    <w:multiLevelType w:val="multilevel"/>
    <w:tmpl w:val="245C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F0F97"/>
    <w:multiLevelType w:val="hybridMultilevel"/>
    <w:tmpl w:val="85189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5120F"/>
    <w:multiLevelType w:val="multilevel"/>
    <w:tmpl w:val="E57A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803465"/>
    <w:multiLevelType w:val="multilevel"/>
    <w:tmpl w:val="84FE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31163B"/>
    <w:multiLevelType w:val="multilevel"/>
    <w:tmpl w:val="12E64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7F5D28"/>
    <w:multiLevelType w:val="multilevel"/>
    <w:tmpl w:val="FE3A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42716E"/>
    <w:multiLevelType w:val="hybridMultilevel"/>
    <w:tmpl w:val="EF58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B4803"/>
    <w:multiLevelType w:val="hybridMultilevel"/>
    <w:tmpl w:val="8CAAD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E97F71"/>
    <w:multiLevelType w:val="multilevel"/>
    <w:tmpl w:val="E8DC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AF17CF"/>
    <w:multiLevelType w:val="hybridMultilevel"/>
    <w:tmpl w:val="19AE66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585188"/>
    <w:multiLevelType w:val="hybridMultilevel"/>
    <w:tmpl w:val="2F3A3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8B1880"/>
    <w:multiLevelType w:val="hybridMultilevel"/>
    <w:tmpl w:val="436C098A"/>
    <w:lvl w:ilvl="0" w:tplc="2CB47086">
      <w:numFmt w:val="bullet"/>
      <w:lvlText w:val="-"/>
      <w:lvlJc w:val="left"/>
      <w:pPr>
        <w:ind w:left="720" w:hanging="360"/>
      </w:pPr>
      <w:rPr>
        <w:rFonts w:ascii="Trebuchet MS" w:eastAsia="Times New Roman" w:hAnsi="Trebuchet M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916B3D"/>
    <w:multiLevelType w:val="multilevel"/>
    <w:tmpl w:val="AF82A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936875"/>
    <w:multiLevelType w:val="hybridMultilevel"/>
    <w:tmpl w:val="471C93A2"/>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6" w15:restartNumberingAfterBreak="0">
    <w:nsid w:val="64067F0D"/>
    <w:multiLevelType w:val="multilevel"/>
    <w:tmpl w:val="F086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1264BB"/>
    <w:multiLevelType w:val="multilevel"/>
    <w:tmpl w:val="39DC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43640A"/>
    <w:multiLevelType w:val="multilevel"/>
    <w:tmpl w:val="297AB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773E79"/>
    <w:multiLevelType w:val="multilevel"/>
    <w:tmpl w:val="F346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20A99"/>
    <w:multiLevelType w:val="multilevel"/>
    <w:tmpl w:val="9D84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2776C"/>
    <w:multiLevelType w:val="hybridMultilevel"/>
    <w:tmpl w:val="733A086C"/>
    <w:lvl w:ilvl="0" w:tplc="AC781546">
      <w:start w:val="1"/>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826585"/>
    <w:multiLevelType w:val="multilevel"/>
    <w:tmpl w:val="CA76A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FD32DF"/>
    <w:multiLevelType w:val="multilevel"/>
    <w:tmpl w:val="8CF06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0011568">
    <w:abstractNumId w:val="23"/>
  </w:num>
  <w:num w:numId="2" w16cid:durableId="1814902661">
    <w:abstractNumId w:val="13"/>
  </w:num>
  <w:num w:numId="3" w16cid:durableId="1320305840">
    <w:abstractNumId w:val="21"/>
  </w:num>
  <w:num w:numId="4" w16cid:durableId="1698122635">
    <w:abstractNumId w:val="22"/>
  </w:num>
  <w:num w:numId="5" w16cid:durableId="763526795">
    <w:abstractNumId w:val="25"/>
  </w:num>
  <w:num w:numId="6" w16cid:durableId="1224101155">
    <w:abstractNumId w:val="7"/>
  </w:num>
  <w:num w:numId="7" w16cid:durableId="570314188">
    <w:abstractNumId w:val="19"/>
  </w:num>
  <w:num w:numId="8" w16cid:durableId="1284071919">
    <w:abstractNumId w:val="31"/>
  </w:num>
  <w:num w:numId="9" w16cid:durableId="869152252">
    <w:abstractNumId w:val="18"/>
  </w:num>
  <w:num w:numId="10" w16cid:durableId="1749185456">
    <w:abstractNumId w:val="9"/>
  </w:num>
  <w:num w:numId="11" w16cid:durableId="600063209">
    <w:abstractNumId w:val="30"/>
  </w:num>
  <w:num w:numId="12" w16cid:durableId="801920729">
    <w:abstractNumId w:val="4"/>
  </w:num>
  <w:num w:numId="13" w16cid:durableId="239213564">
    <w:abstractNumId w:val="6"/>
  </w:num>
  <w:num w:numId="14" w16cid:durableId="724256717">
    <w:abstractNumId w:val="17"/>
  </w:num>
  <w:num w:numId="15" w16cid:durableId="1532910789">
    <w:abstractNumId w:val="24"/>
  </w:num>
  <w:num w:numId="16" w16cid:durableId="556018192">
    <w:abstractNumId w:val="14"/>
  </w:num>
  <w:num w:numId="17" w16cid:durableId="554319361">
    <w:abstractNumId w:val="16"/>
  </w:num>
  <w:num w:numId="18" w16cid:durableId="1750735269">
    <w:abstractNumId w:val="29"/>
  </w:num>
  <w:num w:numId="19" w16cid:durableId="1126433635">
    <w:abstractNumId w:val="8"/>
  </w:num>
  <w:num w:numId="20" w16cid:durableId="1186284550">
    <w:abstractNumId w:val="11"/>
  </w:num>
  <w:num w:numId="21" w16cid:durableId="1122843399">
    <w:abstractNumId w:val="28"/>
  </w:num>
  <w:num w:numId="22" w16cid:durableId="1785415224">
    <w:abstractNumId w:val="20"/>
  </w:num>
  <w:num w:numId="23" w16cid:durableId="348727351">
    <w:abstractNumId w:val="5"/>
  </w:num>
  <w:num w:numId="24" w16cid:durableId="867567994">
    <w:abstractNumId w:val="33"/>
  </w:num>
  <w:num w:numId="25" w16cid:durableId="1074548543">
    <w:abstractNumId w:val="15"/>
  </w:num>
  <w:num w:numId="26" w16cid:durableId="63308051">
    <w:abstractNumId w:val="32"/>
  </w:num>
  <w:num w:numId="27" w16cid:durableId="1666203725">
    <w:abstractNumId w:val="27"/>
  </w:num>
  <w:num w:numId="28" w16cid:durableId="1687095828">
    <w:abstractNumId w:val="3"/>
  </w:num>
  <w:num w:numId="29" w16cid:durableId="1799060261">
    <w:abstractNumId w:val="26"/>
  </w:num>
  <w:num w:numId="30" w16cid:durableId="101386277">
    <w:abstractNumId w:val="2"/>
  </w:num>
  <w:num w:numId="31" w16cid:durableId="1629697306">
    <w:abstractNumId w:val="12"/>
  </w:num>
  <w:num w:numId="32" w16cid:durableId="145216284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F13"/>
    <w:rsid w:val="00006E92"/>
    <w:rsid w:val="00010B39"/>
    <w:rsid w:val="00010E15"/>
    <w:rsid w:val="0001774A"/>
    <w:rsid w:val="00017AD9"/>
    <w:rsid w:val="000202CC"/>
    <w:rsid w:val="00020424"/>
    <w:rsid w:val="000237BB"/>
    <w:rsid w:val="00023A27"/>
    <w:rsid w:val="00026127"/>
    <w:rsid w:val="000305D7"/>
    <w:rsid w:val="00031624"/>
    <w:rsid w:val="00040FD0"/>
    <w:rsid w:val="00045372"/>
    <w:rsid w:val="00045B5B"/>
    <w:rsid w:val="00046CCD"/>
    <w:rsid w:val="00050D73"/>
    <w:rsid w:val="000520C5"/>
    <w:rsid w:val="00055F1E"/>
    <w:rsid w:val="00063F68"/>
    <w:rsid w:val="000758CF"/>
    <w:rsid w:val="00082148"/>
    <w:rsid w:val="00082349"/>
    <w:rsid w:val="00090639"/>
    <w:rsid w:val="00090848"/>
    <w:rsid w:val="0009085D"/>
    <w:rsid w:val="000922F8"/>
    <w:rsid w:val="000950A4"/>
    <w:rsid w:val="000965A3"/>
    <w:rsid w:val="000A370F"/>
    <w:rsid w:val="000A52C3"/>
    <w:rsid w:val="000B0DD0"/>
    <w:rsid w:val="000C3307"/>
    <w:rsid w:val="000C65C2"/>
    <w:rsid w:val="000D119D"/>
    <w:rsid w:val="000E12B9"/>
    <w:rsid w:val="000E3D0C"/>
    <w:rsid w:val="000E5532"/>
    <w:rsid w:val="000F0D97"/>
    <w:rsid w:val="000F7D1B"/>
    <w:rsid w:val="00102674"/>
    <w:rsid w:val="001056DC"/>
    <w:rsid w:val="00113A8D"/>
    <w:rsid w:val="001203C0"/>
    <w:rsid w:val="00120560"/>
    <w:rsid w:val="00123995"/>
    <w:rsid w:val="001240B8"/>
    <w:rsid w:val="001260C5"/>
    <w:rsid w:val="00127B78"/>
    <w:rsid w:val="00137D74"/>
    <w:rsid w:val="00140F50"/>
    <w:rsid w:val="00143A27"/>
    <w:rsid w:val="00147E60"/>
    <w:rsid w:val="00150809"/>
    <w:rsid w:val="001550BC"/>
    <w:rsid w:val="00156043"/>
    <w:rsid w:val="00164C43"/>
    <w:rsid w:val="00171A81"/>
    <w:rsid w:val="00172B39"/>
    <w:rsid w:val="001733D5"/>
    <w:rsid w:val="001764AB"/>
    <w:rsid w:val="00176C2F"/>
    <w:rsid w:val="00185305"/>
    <w:rsid w:val="001A248A"/>
    <w:rsid w:val="001A2DC0"/>
    <w:rsid w:val="001A32D7"/>
    <w:rsid w:val="001A5EB0"/>
    <w:rsid w:val="001A6C99"/>
    <w:rsid w:val="001B0A3C"/>
    <w:rsid w:val="001B3CB7"/>
    <w:rsid w:val="001B7068"/>
    <w:rsid w:val="001B74A2"/>
    <w:rsid w:val="001C5272"/>
    <w:rsid w:val="001C744F"/>
    <w:rsid w:val="001C7CF8"/>
    <w:rsid w:val="001D05B2"/>
    <w:rsid w:val="001D46D0"/>
    <w:rsid w:val="001D4860"/>
    <w:rsid w:val="001D61AA"/>
    <w:rsid w:val="001D7A8E"/>
    <w:rsid w:val="001E563C"/>
    <w:rsid w:val="001E68CF"/>
    <w:rsid w:val="001E7D91"/>
    <w:rsid w:val="001F5712"/>
    <w:rsid w:val="0020162A"/>
    <w:rsid w:val="00203DFF"/>
    <w:rsid w:val="0020543D"/>
    <w:rsid w:val="00206E84"/>
    <w:rsid w:val="002113DD"/>
    <w:rsid w:val="00211CD8"/>
    <w:rsid w:val="002158F2"/>
    <w:rsid w:val="00217E66"/>
    <w:rsid w:val="00224068"/>
    <w:rsid w:val="00224933"/>
    <w:rsid w:val="00225C48"/>
    <w:rsid w:val="00230658"/>
    <w:rsid w:val="00231C27"/>
    <w:rsid w:val="00233786"/>
    <w:rsid w:val="00237E5C"/>
    <w:rsid w:val="00240102"/>
    <w:rsid w:val="00251786"/>
    <w:rsid w:val="00255FAA"/>
    <w:rsid w:val="002563AC"/>
    <w:rsid w:val="00262D68"/>
    <w:rsid w:val="0026547C"/>
    <w:rsid w:val="002710AE"/>
    <w:rsid w:val="00272D9B"/>
    <w:rsid w:val="00284420"/>
    <w:rsid w:val="00290889"/>
    <w:rsid w:val="00292B60"/>
    <w:rsid w:val="00292FA2"/>
    <w:rsid w:val="002A1817"/>
    <w:rsid w:val="002A1D1A"/>
    <w:rsid w:val="002A1E96"/>
    <w:rsid w:val="002A212C"/>
    <w:rsid w:val="002B5B1F"/>
    <w:rsid w:val="002B78AA"/>
    <w:rsid w:val="002C3622"/>
    <w:rsid w:val="002C4129"/>
    <w:rsid w:val="002C5177"/>
    <w:rsid w:val="002D1BB9"/>
    <w:rsid w:val="002D27CC"/>
    <w:rsid w:val="002E1AE0"/>
    <w:rsid w:val="002F0759"/>
    <w:rsid w:val="00301D09"/>
    <w:rsid w:val="0030333D"/>
    <w:rsid w:val="00306047"/>
    <w:rsid w:val="00321E1B"/>
    <w:rsid w:val="00321EA6"/>
    <w:rsid w:val="003229C9"/>
    <w:rsid w:val="00323AE8"/>
    <w:rsid w:val="003247B4"/>
    <w:rsid w:val="00325842"/>
    <w:rsid w:val="003423FD"/>
    <w:rsid w:val="00343A43"/>
    <w:rsid w:val="00353C45"/>
    <w:rsid w:val="00354AB7"/>
    <w:rsid w:val="0035541E"/>
    <w:rsid w:val="003556C8"/>
    <w:rsid w:val="00371511"/>
    <w:rsid w:val="003720E2"/>
    <w:rsid w:val="003876F1"/>
    <w:rsid w:val="003876FF"/>
    <w:rsid w:val="00387A29"/>
    <w:rsid w:val="00392B4D"/>
    <w:rsid w:val="00395ABE"/>
    <w:rsid w:val="003A0CDF"/>
    <w:rsid w:val="003A1F95"/>
    <w:rsid w:val="003B7E29"/>
    <w:rsid w:val="003C1322"/>
    <w:rsid w:val="003C4FA4"/>
    <w:rsid w:val="003D0A97"/>
    <w:rsid w:val="003D13AB"/>
    <w:rsid w:val="003D6300"/>
    <w:rsid w:val="003E357B"/>
    <w:rsid w:val="003F0AFB"/>
    <w:rsid w:val="003F2BA4"/>
    <w:rsid w:val="00401BCE"/>
    <w:rsid w:val="00403DE2"/>
    <w:rsid w:val="00405FE4"/>
    <w:rsid w:val="0040769D"/>
    <w:rsid w:val="00411393"/>
    <w:rsid w:val="00411947"/>
    <w:rsid w:val="00412A16"/>
    <w:rsid w:val="00413F57"/>
    <w:rsid w:val="004172A6"/>
    <w:rsid w:val="004332FE"/>
    <w:rsid w:val="004352F0"/>
    <w:rsid w:val="004365E3"/>
    <w:rsid w:val="00440ADA"/>
    <w:rsid w:val="0044181F"/>
    <w:rsid w:val="0044603E"/>
    <w:rsid w:val="0045258C"/>
    <w:rsid w:val="00452CF8"/>
    <w:rsid w:val="0045381F"/>
    <w:rsid w:val="00455478"/>
    <w:rsid w:val="004557D6"/>
    <w:rsid w:val="00460355"/>
    <w:rsid w:val="0046045E"/>
    <w:rsid w:val="00474D6D"/>
    <w:rsid w:val="004812A5"/>
    <w:rsid w:val="0048196D"/>
    <w:rsid w:val="00485543"/>
    <w:rsid w:val="00486808"/>
    <w:rsid w:val="00496E55"/>
    <w:rsid w:val="0049705A"/>
    <w:rsid w:val="004B1F13"/>
    <w:rsid w:val="004F013A"/>
    <w:rsid w:val="004F43A6"/>
    <w:rsid w:val="004F4AFB"/>
    <w:rsid w:val="004F72BB"/>
    <w:rsid w:val="00500C04"/>
    <w:rsid w:val="00501B5F"/>
    <w:rsid w:val="00506CC4"/>
    <w:rsid w:val="00510779"/>
    <w:rsid w:val="00512691"/>
    <w:rsid w:val="00514B50"/>
    <w:rsid w:val="00514F75"/>
    <w:rsid w:val="0051679E"/>
    <w:rsid w:val="00516AC6"/>
    <w:rsid w:val="00517DB5"/>
    <w:rsid w:val="00517DF0"/>
    <w:rsid w:val="00517FCE"/>
    <w:rsid w:val="00522108"/>
    <w:rsid w:val="00525922"/>
    <w:rsid w:val="005335D0"/>
    <w:rsid w:val="00534B68"/>
    <w:rsid w:val="005411DF"/>
    <w:rsid w:val="0054272B"/>
    <w:rsid w:val="00552014"/>
    <w:rsid w:val="0055475A"/>
    <w:rsid w:val="005576EB"/>
    <w:rsid w:val="0056501F"/>
    <w:rsid w:val="005708D3"/>
    <w:rsid w:val="00573058"/>
    <w:rsid w:val="005771E3"/>
    <w:rsid w:val="00591E85"/>
    <w:rsid w:val="00593DEB"/>
    <w:rsid w:val="00594352"/>
    <w:rsid w:val="00594404"/>
    <w:rsid w:val="00595025"/>
    <w:rsid w:val="0059537E"/>
    <w:rsid w:val="00597429"/>
    <w:rsid w:val="005A05B4"/>
    <w:rsid w:val="005A0D53"/>
    <w:rsid w:val="005A218F"/>
    <w:rsid w:val="005A3FDD"/>
    <w:rsid w:val="005A494C"/>
    <w:rsid w:val="005A4D54"/>
    <w:rsid w:val="005C1BB7"/>
    <w:rsid w:val="005C53C8"/>
    <w:rsid w:val="005C6CCE"/>
    <w:rsid w:val="005D1833"/>
    <w:rsid w:val="005D313E"/>
    <w:rsid w:val="005D4492"/>
    <w:rsid w:val="005E1F75"/>
    <w:rsid w:val="005F447B"/>
    <w:rsid w:val="006006D2"/>
    <w:rsid w:val="00605535"/>
    <w:rsid w:val="00605D0A"/>
    <w:rsid w:val="00605E47"/>
    <w:rsid w:val="0061273C"/>
    <w:rsid w:val="00625653"/>
    <w:rsid w:val="00626D01"/>
    <w:rsid w:val="006353DC"/>
    <w:rsid w:val="00641B20"/>
    <w:rsid w:val="00652D5C"/>
    <w:rsid w:val="006538E1"/>
    <w:rsid w:val="00655BF8"/>
    <w:rsid w:val="0066390A"/>
    <w:rsid w:val="00672CC2"/>
    <w:rsid w:val="006733E3"/>
    <w:rsid w:val="00673A6A"/>
    <w:rsid w:val="00674973"/>
    <w:rsid w:val="00683F33"/>
    <w:rsid w:val="00692FF9"/>
    <w:rsid w:val="00696390"/>
    <w:rsid w:val="006A2A5D"/>
    <w:rsid w:val="006B0ED3"/>
    <w:rsid w:val="006B565E"/>
    <w:rsid w:val="006C0C0B"/>
    <w:rsid w:val="006C143D"/>
    <w:rsid w:val="006C69D9"/>
    <w:rsid w:val="006C6E6E"/>
    <w:rsid w:val="006D2022"/>
    <w:rsid w:val="006D2F7D"/>
    <w:rsid w:val="006D6751"/>
    <w:rsid w:val="006D6760"/>
    <w:rsid w:val="006D7D6C"/>
    <w:rsid w:val="006F1C85"/>
    <w:rsid w:val="006F2E5C"/>
    <w:rsid w:val="006F52D3"/>
    <w:rsid w:val="007112D1"/>
    <w:rsid w:val="0072504F"/>
    <w:rsid w:val="00734180"/>
    <w:rsid w:val="0074084D"/>
    <w:rsid w:val="00764993"/>
    <w:rsid w:val="0076581E"/>
    <w:rsid w:val="00775213"/>
    <w:rsid w:val="007811FB"/>
    <w:rsid w:val="007818AA"/>
    <w:rsid w:val="007848D5"/>
    <w:rsid w:val="00795637"/>
    <w:rsid w:val="00796F5B"/>
    <w:rsid w:val="007977CB"/>
    <w:rsid w:val="007A007D"/>
    <w:rsid w:val="007A2A5E"/>
    <w:rsid w:val="007A2CC6"/>
    <w:rsid w:val="007A3558"/>
    <w:rsid w:val="007A66B5"/>
    <w:rsid w:val="007B0226"/>
    <w:rsid w:val="007B2D65"/>
    <w:rsid w:val="007C0F08"/>
    <w:rsid w:val="007C2408"/>
    <w:rsid w:val="007C28B4"/>
    <w:rsid w:val="007C322F"/>
    <w:rsid w:val="007D60D0"/>
    <w:rsid w:val="007E0D87"/>
    <w:rsid w:val="007E6CED"/>
    <w:rsid w:val="007F4FF7"/>
    <w:rsid w:val="007F637D"/>
    <w:rsid w:val="007F7A46"/>
    <w:rsid w:val="00805EE4"/>
    <w:rsid w:val="00810E0C"/>
    <w:rsid w:val="0081241E"/>
    <w:rsid w:val="008138F8"/>
    <w:rsid w:val="00815BA8"/>
    <w:rsid w:val="008160EB"/>
    <w:rsid w:val="00826CA9"/>
    <w:rsid w:val="008328AF"/>
    <w:rsid w:val="00834177"/>
    <w:rsid w:val="00841D24"/>
    <w:rsid w:val="0084271B"/>
    <w:rsid w:val="00845FF4"/>
    <w:rsid w:val="00847546"/>
    <w:rsid w:val="00857BA2"/>
    <w:rsid w:val="00861354"/>
    <w:rsid w:val="00862FFA"/>
    <w:rsid w:val="0087127D"/>
    <w:rsid w:val="00875789"/>
    <w:rsid w:val="00876839"/>
    <w:rsid w:val="00877B46"/>
    <w:rsid w:val="00880331"/>
    <w:rsid w:val="008811F6"/>
    <w:rsid w:val="00885474"/>
    <w:rsid w:val="00886F58"/>
    <w:rsid w:val="00890763"/>
    <w:rsid w:val="00892204"/>
    <w:rsid w:val="00894489"/>
    <w:rsid w:val="00895406"/>
    <w:rsid w:val="008A06C8"/>
    <w:rsid w:val="008A264B"/>
    <w:rsid w:val="008B1B52"/>
    <w:rsid w:val="008B2876"/>
    <w:rsid w:val="008B6327"/>
    <w:rsid w:val="008B746F"/>
    <w:rsid w:val="008C00D0"/>
    <w:rsid w:val="008D04AF"/>
    <w:rsid w:val="008D4F66"/>
    <w:rsid w:val="008D50C5"/>
    <w:rsid w:val="008D7753"/>
    <w:rsid w:val="008E461E"/>
    <w:rsid w:val="009041ED"/>
    <w:rsid w:val="0090516C"/>
    <w:rsid w:val="00913BF8"/>
    <w:rsid w:val="00933A1F"/>
    <w:rsid w:val="00942151"/>
    <w:rsid w:val="00946DC7"/>
    <w:rsid w:val="00950397"/>
    <w:rsid w:val="00952AC5"/>
    <w:rsid w:val="00956ABA"/>
    <w:rsid w:val="009612D0"/>
    <w:rsid w:val="00971083"/>
    <w:rsid w:val="00973F02"/>
    <w:rsid w:val="0097438F"/>
    <w:rsid w:val="009749F2"/>
    <w:rsid w:val="0098517F"/>
    <w:rsid w:val="009A12EC"/>
    <w:rsid w:val="009A4EA3"/>
    <w:rsid w:val="009A7514"/>
    <w:rsid w:val="009B254D"/>
    <w:rsid w:val="009B2909"/>
    <w:rsid w:val="009B6564"/>
    <w:rsid w:val="009C3AEF"/>
    <w:rsid w:val="009C457F"/>
    <w:rsid w:val="009D0451"/>
    <w:rsid w:val="009D48EF"/>
    <w:rsid w:val="009D5386"/>
    <w:rsid w:val="009E28B6"/>
    <w:rsid w:val="009E55C1"/>
    <w:rsid w:val="009E7649"/>
    <w:rsid w:val="009E7741"/>
    <w:rsid w:val="009F08A1"/>
    <w:rsid w:val="00A01F5E"/>
    <w:rsid w:val="00A02FB7"/>
    <w:rsid w:val="00A06E5E"/>
    <w:rsid w:val="00A1093C"/>
    <w:rsid w:val="00A125EA"/>
    <w:rsid w:val="00A15427"/>
    <w:rsid w:val="00A24ED9"/>
    <w:rsid w:val="00A25A99"/>
    <w:rsid w:val="00A35B68"/>
    <w:rsid w:val="00A363F5"/>
    <w:rsid w:val="00A41643"/>
    <w:rsid w:val="00A5058C"/>
    <w:rsid w:val="00A542F6"/>
    <w:rsid w:val="00A62AF1"/>
    <w:rsid w:val="00A63551"/>
    <w:rsid w:val="00A640EB"/>
    <w:rsid w:val="00A664DA"/>
    <w:rsid w:val="00A811CF"/>
    <w:rsid w:val="00A82AC9"/>
    <w:rsid w:val="00A93570"/>
    <w:rsid w:val="00A9360B"/>
    <w:rsid w:val="00A95D8E"/>
    <w:rsid w:val="00A97316"/>
    <w:rsid w:val="00AC0BAD"/>
    <w:rsid w:val="00AC6FC4"/>
    <w:rsid w:val="00AC7C0A"/>
    <w:rsid w:val="00AD1EF5"/>
    <w:rsid w:val="00AD29F8"/>
    <w:rsid w:val="00AE00A9"/>
    <w:rsid w:val="00AE0DC3"/>
    <w:rsid w:val="00AE1649"/>
    <w:rsid w:val="00AE74F2"/>
    <w:rsid w:val="00AF0FAB"/>
    <w:rsid w:val="00AF6B51"/>
    <w:rsid w:val="00B00939"/>
    <w:rsid w:val="00B01F32"/>
    <w:rsid w:val="00B02AB6"/>
    <w:rsid w:val="00B1177A"/>
    <w:rsid w:val="00B15003"/>
    <w:rsid w:val="00B16A7A"/>
    <w:rsid w:val="00B17D35"/>
    <w:rsid w:val="00B17D9E"/>
    <w:rsid w:val="00B20B1D"/>
    <w:rsid w:val="00B23D6A"/>
    <w:rsid w:val="00B23F26"/>
    <w:rsid w:val="00B24057"/>
    <w:rsid w:val="00B26131"/>
    <w:rsid w:val="00B27CE2"/>
    <w:rsid w:val="00B362D6"/>
    <w:rsid w:val="00B420D2"/>
    <w:rsid w:val="00B44983"/>
    <w:rsid w:val="00B476D7"/>
    <w:rsid w:val="00B52BBF"/>
    <w:rsid w:val="00B531AF"/>
    <w:rsid w:val="00B55605"/>
    <w:rsid w:val="00B61C81"/>
    <w:rsid w:val="00B61DE1"/>
    <w:rsid w:val="00B808D4"/>
    <w:rsid w:val="00B8138F"/>
    <w:rsid w:val="00B836A2"/>
    <w:rsid w:val="00B840F6"/>
    <w:rsid w:val="00B85FFE"/>
    <w:rsid w:val="00B8697B"/>
    <w:rsid w:val="00B943E6"/>
    <w:rsid w:val="00B966BD"/>
    <w:rsid w:val="00BA506C"/>
    <w:rsid w:val="00BB08AB"/>
    <w:rsid w:val="00BB3850"/>
    <w:rsid w:val="00BB539C"/>
    <w:rsid w:val="00BB613A"/>
    <w:rsid w:val="00BB7B44"/>
    <w:rsid w:val="00BD0285"/>
    <w:rsid w:val="00BD1D58"/>
    <w:rsid w:val="00BD2EEB"/>
    <w:rsid w:val="00BD602C"/>
    <w:rsid w:val="00BE5428"/>
    <w:rsid w:val="00BF7B92"/>
    <w:rsid w:val="00C0474C"/>
    <w:rsid w:val="00C134B1"/>
    <w:rsid w:val="00C1398F"/>
    <w:rsid w:val="00C159C4"/>
    <w:rsid w:val="00C2203C"/>
    <w:rsid w:val="00C32A1E"/>
    <w:rsid w:val="00C32BEA"/>
    <w:rsid w:val="00C32D31"/>
    <w:rsid w:val="00C344A6"/>
    <w:rsid w:val="00C35FF6"/>
    <w:rsid w:val="00C36955"/>
    <w:rsid w:val="00C4296A"/>
    <w:rsid w:val="00C512BB"/>
    <w:rsid w:val="00C528B2"/>
    <w:rsid w:val="00C53A58"/>
    <w:rsid w:val="00C5696E"/>
    <w:rsid w:val="00C56A73"/>
    <w:rsid w:val="00C63C1C"/>
    <w:rsid w:val="00C71E40"/>
    <w:rsid w:val="00C733F0"/>
    <w:rsid w:val="00C75C19"/>
    <w:rsid w:val="00C83244"/>
    <w:rsid w:val="00C8424E"/>
    <w:rsid w:val="00C84263"/>
    <w:rsid w:val="00C84B03"/>
    <w:rsid w:val="00C8577C"/>
    <w:rsid w:val="00C90FA6"/>
    <w:rsid w:val="00C93FD5"/>
    <w:rsid w:val="00CA206E"/>
    <w:rsid w:val="00CA435C"/>
    <w:rsid w:val="00CB0ACF"/>
    <w:rsid w:val="00CB5F88"/>
    <w:rsid w:val="00CC6EEC"/>
    <w:rsid w:val="00CD37EC"/>
    <w:rsid w:val="00CF013A"/>
    <w:rsid w:val="00CF2415"/>
    <w:rsid w:val="00D02987"/>
    <w:rsid w:val="00D05844"/>
    <w:rsid w:val="00D06D80"/>
    <w:rsid w:val="00D10F3B"/>
    <w:rsid w:val="00D14B85"/>
    <w:rsid w:val="00D20B9D"/>
    <w:rsid w:val="00D23497"/>
    <w:rsid w:val="00D249C5"/>
    <w:rsid w:val="00D25E0A"/>
    <w:rsid w:val="00D322E4"/>
    <w:rsid w:val="00D32A6E"/>
    <w:rsid w:val="00D32B84"/>
    <w:rsid w:val="00D33C22"/>
    <w:rsid w:val="00D35E0E"/>
    <w:rsid w:val="00D36088"/>
    <w:rsid w:val="00D3710D"/>
    <w:rsid w:val="00D402B2"/>
    <w:rsid w:val="00D515DA"/>
    <w:rsid w:val="00D57997"/>
    <w:rsid w:val="00D75FC5"/>
    <w:rsid w:val="00D7624A"/>
    <w:rsid w:val="00D765F5"/>
    <w:rsid w:val="00D81A93"/>
    <w:rsid w:val="00D83684"/>
    <w:rsid w:val="00D84395"/>
    <w:rsid w:val="00D84A92"/>
    <w:rsid w:val="00D84C1C"/>
    <w:rsid w:val="00D84F87"/>
    <w:rsid w:val="00D85CF1"/>
    <w:rsid w:val="00D92A43"/>
    <w:rsid w:val="00D93AC4"/>
    <w:rsid w:val="00D93DA0"/>
    <w:rsid w:val="00D960E4"/>
    <w:rsid w:val="00DA0A07"/>
    <w:rsid w:val="00DA0CA0"/>
    <w:rsid w:val="00DA6227"/>
    <w:rsid w:val="00DA7B3F"/>
    <w:rsid w:val="00DB2341"/>
    <w:rsid w:val="00DC2A95"/>
    <w:rsid w:val="00DD179D"/>
    <w:rsid w:val="00DD4C62"/>
    <w:rsid w:val="00DE13D7"/>
    <w:rsid w:val="00DF374B"/>
    <w:rsid w:val="00DF65A2"/>
    <w:rsid w:val="00E01883"/>
    <w:rsid w:val="00E01A12"/>
    <w:rsid w:val="00E03D7D"/>
    <w:rsid w:val="00E042A6"/>
    <w:rsid w:val="00E0557B"/>
    <w:rsid w:val="00E106DB"/>
    <w:rsid w:val="00E112ED"/>
    <w:rsid w:val="00E13AF1"/>
    <w:rsid w:val="00E14139"/>
    <w:rsid w:val="00E25EC4"/>
    <w:rsid w:val="00E330A7"/>
    <w:rsid w:val="00E33935"/>
    <w:rsid w:val="00E41209"/>
    <w:rsid w:val="00E41330"/>
    <w:rsid w:val="00E42588"/>
    <w:rsid w:val="00E432A0"/>
    <w:rsid w:val="00E53B93"/>
    <w:rsid w:val="00E56552"/>
    <w:rsid w:val="00E57DEE"/>
    <w:rsid w:val="00E60AB7"/>
    <w:rsid w:val="00E60EC7"/>
    <w:rsid w:val="00E63176"/>
    <w:rsid w:val="00E64E55"/>
    <w:rsid w:val="00E67B80"/>
    <w:rsid w:val="00E700DB"/>
    <w:rsid w:val="00E74680"/>
    <w:rsid w:val="00E83851"/>
    <w:rsid w:val="00E858E0"/>
    <w:rsid w:val="00E87C3D"/>
    <w:rsid w:val="00E901AA"/>
    <w:rsid w:val="00EA0B1A"/>
    <w:rsid w:val="00EA3C78"/>
    <w:rsid w:val="00EA563F"/>
    <w:rsid w:val="00EB7256"/>
    <w:rsid w:val="00EC0C06"/>
    <w:rsid w:val="00EC1F4E"/>
    <w:rsid w:val="00EC2E72"/>
    <w:rsid w:val="00EC4F25"/>
    <w:rsid w:val="00EC7217"/>
    <w:rsid w:val="00ED245C"/>
    <w:rsid w:val="00ED2883"/>
    <w:rsid w:val="00ED789F"/>
    <w:rsid w:val="00EE05E1"/>
    <w:rsid w:val="00EE51C9"/>
    <w:rsid w:val="00EF0EBE"/>
    <w:rsid w:val="00EF38B2"/>
    <w:rsid w:val="00F01ED8"/>
    <w:rsid w:val="00F03B7F"/>
    <w:rsid w:val="00F13286"/>
    <w:rsid w:val="00F23A7D"/>
    <w:rsid w:val="00F32CFB"/>
    <w:rsid w:val="00F405BC"/>
    <w:rsid w:val="00F40B3C"/>
    <w:rsid w:val="00F45323"/>
    <w:rsid w:val="00F51F04"/>
    <w:rsid w:val="00F52440"/>
    <w:rsid w:val="00F527B0"/>
    <w:rsid w:val="00F547AF"/>
    <w:rsid w:val="00F56EC3"/>
    <w:rsid w:val="00F6593D"/>
    <w:rsid w:val="00F70F5D"/>
    <w:rsid w:val="00F71FB0"/>
    <w:rsid w:val="00F759E8"/>
    <w:rsid w:val="00F77B0B"/>
    <w:rsid w:val="00F91026"/>
    <w:rsid w:val="00FA637D"/>
    <w:rsid w:val="00FA6A02"/>
    <w:rsid w:val="00FB305C"/>
    <w:rsid w:val="00FC15A1"/>
    <w:rsid w:val="00FD719D"/>
    <w:rsid w:val="00FD748B"/>
    <w:rsid w:val="00FE31F8"/>
    <w:rsid w:val="00FE399F"/>
    <w:rsid w:val="00FF4B9B"/>
    <w:rsid w:val="00FF5860"/>
    <w:rsid w:val="06EE2E96"/>
    <w:rsid w:val="1641C469"/>
    <w:rsid w:val="16B08306"/>
    <w:rsid w:val="1E056AA4"/>
    <w:rsid w:val="215C464A"/>
    <w:rsid w:val="2E2CDD96"/>
    <w:rsid w:val="318BE6BC"/>
    <w:rsid w:val="3406E17B"/>
    <w:rsid w:val="38B164AF"/>
    <w:rsid w:val="4905ABB2"/>
    <w:rsid w:val="4F3637B4"/>
    <w:rsid w:val="55CDFCB1"/>
    <w:rsid w:val="56322A6F"/>
    <w:rsid w:val="5F4A3584"/>
    <w:rsid w:val="71C9A4CF"/>
    <w:rsid w:val="77556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3CF9C4"/>
  <w15:docId w15:val="{3BD66C15-1F87-4D5D-8F66-6465E3D6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227"/>
    <w:rPr>
      <w:lang w:val="ro-RO"/>
    </w:rPr>
  </w:style>
  <w:style w:type="paragraph" w:styleId="Heading1">
    <w:name w:val="heading 1"/>
    <w:basedOn w:val="Normal"/>
    <w:next w:val="Normal"/>
    <w:link w:val="Heading1Char"/>
    <w:uiPriority w:val="9"/>
    <w:qFormat/>
    <w:rsid w:val="005A494C"/>
    <w:pPr>
      <w:keepNext/>
      <w:keepLines/>
      <w:spacing w:before="360" w:after="80" w:line="259" w:lineRule="auto"/>
      <w:outlineLvl w:val="0"/>
    </w:pPr>
    <w:rPr>
      <w:rFonts w:asciiTheme="majorHAnsi" w:eastAsiaTheme="majorEastAsia" w:hAnsiTheme="majorHAnsi" w:cstheme="majorBidi"/>
      <w:color w:val="365F91" w:themeColor="accent1" w:themeShade="BF"/>
      <w:sz w:val="40"/>
      <w:szCs w:val="40"/>
      <w:lang w:val="en-GB"/>
    </w:rPr>
  </w:style>
  <w:style w:type="paragraph" w:styleId="Heading2">
    <w:name w:val="heading 2"/>
    <w:basedOn w:val="Normal"/>
    <w:next w:val="Normal"/>
    <w:link w:val="Heading2Char"/>
    <w:uiPriority w:val="9"/>
    <w:unhideWhenUsed/>
    <w:qFormat/>
    <w:rsid w:val="005A494C"/>
    <w:pPr>
      <w:keepNext/>
      <w:keepLines/>
      <w:spacing w:before="160" w:after="80" w:line="259" w:lineRule="auto"/>
      <w:outlineLvl w:val="1"/>
    </w:pPr>
    <w:rPr>
      <w:rFonts w:asciiTheme="majorHAnsi" w:eastAsiaTheme="majorEastAsia" w:hAnsiTheme="majorHAnsi" w:cstheme="majorBidi"/>
      <w:color w:val="365F91" w:themeColor="accent1" w:themeShade="BF"/>
      <w:sz w:val="32"/>
      <w:szCs w:val="32"/>
      <w:lang w:val="en-GB"/>
    </w:rPr>
  </w:style>
  <w:style w:type="paragraph" w:styleId="Heading3">
    <w:name w:val="heading 3"/>
    <w:basedOn w:val="Normal"/>
    <w:next w:val="Normal"/>
    <w:link w:val="Heading3Char"/>
    <w:uiPriority w:val="9"/>
    <w:unhideWhenUsed/>
    <w:qFormat/>
    <w:rsid w:val="005A494C"/>
    <w:pPr>
      <w:keepNext/>
      <w:keepLines/>
      <w:spacing w:before="160" w:after="80" w:line="259" w:lineRule="auto"/>
      <w:outlineLvl w:val="2"/>
    </w:pPr>
    <w:rPr>
      <w:rFonts w:eastAsiaTheme="majorEastAsia" w:cstheme="majorBidi"/>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F13"/>
    <w:rPr>
      <w:rFonts w:ascii="Tahoma" w:hAnsi="Tahoma" w:cs="Tahoma"/>
      <w:sz w:val="16"/>
      <w:szCs w:val="16"/>
      <w:lang w:val="ro-RO"/>
    </w:rPr>
  </w:style>
  <w:style w:type="table" w:styleId="TableGrid">
    <w:name w:val="Table Grid"/>
    <w:basedOn w:val="TableNormal"/>
    <w:uiPriority w:val="59"/>
    <w:rsid w:val="00B24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108"/>
    <w:rPr>
      <w:color w:val="0000FF" w:themeColor="hyperlink"/>
      <w:u w:val="single"/>
    </w:rPr>
  </w:style>
  <w:style w:type="paragraph" w:styleId="Header">
    <w:name w:val="header"/>
    <w:basedOn w:val="Normal"/>
    <w:link w:val="HeaderChar"/>
    <w:uiPriority w:val="99"/>
    <w:unhideWhenUsed/>
    <w:rsid w:val="00E25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EC4"/>
    <w:rPr>
      <w:lang w:val="ro-RO"/>
    </w:rPr>
  </w:style>
  <w:style w:type="paragraph" w:styleId="Footer">
    <w:name w:val="footer"/>
    <w:basedOn w:val="Normal"/>
    <w:link w:val="FooterChar"/>
    <w:uiPriority w:val="99"/>
    <w:unhideWhenUsed/>
    <w:rsid w:val="00E25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EC4"/>
    <w:rPr>
      <w:lang w:val="ro-RO"/>
    </w:rPr>
  </w:style>
  <w:style w:type="paragraph" w:styleId="BodyText">
    <w:name w:val="Body Text"/>
    <w:basedOn w:val="Normal"/>
    <w:link w:val="BodyTextChar"/>
    <w:rsid w:val="00514F75"/>
    <w:pPr>
      <w:suppressAutoHyphens/>
      <w:spacing w:after="120"/>
      <w:jc w:val="both"/>
    </w:pPr>
    <w:rPr>
      <w:rFonts w:ascii="Cambria" w:eastAsia="Times New Roman" w:hAnsi="Cambria" w:cs="Calibri"/>
      <w:sz w:val="20"/>
      <w:szCs w:val="20"/>
      <w:lang w:val="en-US" w:bidi="en-US"/>
    </w:rPr>
  </w:style>
  <w:style w:type="character" w:customStyle="1" w:styleId="BodyTextChar">
    <w:name w:val="Body Text Char"/>
    <w:basedOn w:val="DefaultParagraphFont"/>
    <w:link w:val="BodyText"/>
    <w:rsid w:val="00514F75"/>
    <w:rPr>
      <w:rFonts w:ascii="Cambria" w:eastAsia="Times New Roman" w:hAnsi="Cambria" w:cs="Calibri"/>
      <w:sz w:val="20"/>
      <w:szCs w:val="20"/>
      <w:lang w:bidi="en-US"/>
    </w:rPr>
  </w:style>
  <w:style w:type="paragraph" w:styleId="ListParagraph">
    <w:name w:val="List Paragraph"/>
    <w:aliases w:val="Normal bullet 2,List Paragraph1,body 2,List Paragraph11,List Paragraph111,Antes de enumeración,Listă colorată - Accentuare 11,Bullet,Citation List"/>
    <w:basedOn w:val="Normal"/>
    <w:link w:val="ListParagraphChar"/>
    <w:uiPriority w:val="34"/>
    <w:qFormat/>
    <w:rsid w:val="00514F75"/>
    <w:pPr>
      <w:suppressAutoHyphens/>
      <w:spacing w:after="0" w:line="240" w:lineRule="auto"/>
      <w:ind w:left="720"/>
      <w:jc w:val="both"/>
    </w:pPr>
    <w:rPr>
      <w:rFonts w:ascii="Calibri" w:eastAsia="Calibri" w:hAnsi="Calibri" w:cs="Calibri"/>
      <w:lang w:eastAsia="ar-SA"/>
    </w:rPr>
  </w:style>
  <w:style w:type="paragraph" w:styleId="BodyText2">
    <w:name w:val="Body Text 2"/>
    <w:basedOn w:val="Normal"/>
    <w:link w:val="BodyText2Char"/>
    <w:uiPriority w:val="99"/>
    <w:semiHidden/>
    <w:unhideWhenUsed/>
    <w:rsid w:val="00514F75"/>
    <w:pPr>
      <w:suppressAutoHyphens/>
      <w:spacing w:after="120" w:line="480" w:lineRule="auto"/>
      <w:jc w:val="both"/>
    </w:pPr>
    <w:rPr>
      <w:rFonts w:ascii="Cambria" w:eastAsia="Times New Roman" w:hAnsi="Cambria" w:cs="Calibri"/>
      <w:sz w:val="20"/>
      <w:szCs w:val="20"/>
      <w:lang w:val="en-US" w:bidi="en-US"/>
    </w:rPr>
  </w:style>
  <w:style w:type="character" w:customStyle="1" w:styleId="BodyText2Char">
    <w:name w:val="Body Text 2 Char"/>
    <w:basedOn w:val="DefaultParagraphFont"/>
    <w:link w:val="BodyText2"/>
    <w:uiPriority w:val="99"/>
    <w:semiHidden/>
    <w:rsid w:val="00514F75"/>
    <w:rPr>
      <w:rFonts w:ascii="Cambria" w:eastAsia="Times New Roman" w:hAnsi="Cambria" w:cs="Calibri"/>
      <w:sz w:val="20"/>
      <w:szCs w:val="20"/>
      <w:lang w:bidi="en-US"/>
    </w:rPr>
  </w:style>
  <w:style w:type="paragraph" w:styleId="BodyTextIndent2">
    <w:name w:val="Body Text Indent 2"/>
    <w:basedOn w:val="Normal"/>
    <w:link w:val="BodyTextIndent2Char"/>
    <w:uiPriority w:val="99"/>
    <w:semiHidden/>
    <w:unhideWhenUsed/>
    <w:rsid w:val="00514F75"/>
    <w:pPr>
      <w:suppressAutoHyphens/>
      <w:spacing w:after="120" w:line="480" w:lineRule="auto"/>
      <w:ind w:left="360"/>
      <w:jc w:val="both"/>
    </w:pPr>
    <w:rPr>
      <w:rFonts w:ascii="Cambria" w:eastAsia="Times New Roman" w:hAnsi="Cambria" w:cs="Calibri"/>
      <w:sz w:val="20"/>
      <w:szCs w:val="20"/>
      <w:lang w:val="en-US" w:bidi="en-US"/>
    </w:rPr>
  </w:style>
  <w:style w:type="character" w:customStyle="1" w:styleId="BodyTextIndent2Char">
    <w:name w:val="Body Text Indent 2 Char"/>
    <w:basedOn w:val="DefaultParagraphFont"/>
    <w:link w:val="BodyTextIndent2"/>
    <w:uiPriority w:val="99"/>
    <w:semiHidden/>
    <w:rsid w:val="00514F75"/>
    <w:rPr>
      <w:rFonts w:ascii="Cambria" w:eastAsia="Times New Roman" w:hAnsi="Cambria" w:cs="Calibri"/>
      <w:sz w:val="20"/>
      <w:szCs w:val="20"/>
      <w:lang w:bidi="en-US"/>
    </w:rPr>
  </w:style>
  <w:style w:type="character" w:customStyle="1" w:styleId="ListParagraphChar">
    <w:name w:val="List Paragraph Char"/>
    <w:aliases w:val="Normal bullet 2 Char,List Paragraph1 Char,body 2 Char,List Paragraph11 Char,List Paragraph111 Char,Antes de enumeración Char,Listă colorată - Accentuare 11 Char,Bullet Char,Citation List Char"/>
    <w:link w:val="ListParagraph"/>
    <w:uiPriority w:val="1"/>
    <w:rsid w:val="00514F75"/>
    <w:rPr>
      <w:rFonts w:ascii="Calibri" w:eastAsia="Calibri" w:hAnsi="Calibri" w:cs="Calibri"/>
      <w:lang w:val="ro-RO" w:eastAsia="ar-SA"/>
    </w:rPr>
  </w:style>
  <w:style w:type="paragraph" w:styleId="NoSpacing">
    <w:name w:val="No Spacing"/>
    <w:uiPriority w:val="1"/>
    <w:qFormat/>
    <w:rsid w:val="00E0557B"/>
    <w:pPr>
      <w:spacing w:after="0" w:line="240" w:lineRule="auto"/>
    </w:pPr>
    <w:rPr>
      <w:lang w:val="ro-RO"/>
    </w:rPr>
  </w:style>
  <w:style w:type="table" w:customStyle="1" w:styleId="PlainTable21">
    <w:name w:val="Plain Table 21"/>
    <w:basedOn w:val="TableNormal"/>
    <w:uiPriority w:val="99"/>
    <w:rsid w:val="00DA6227"/>
    <w:pPr>
      <w:spacing w:after="0" w:line="240" w:lineRule="auto"/>
    </w:pPr>
    <w:rPr>
      <w:rFonts w:eastAsiaTheme="minorEastAsia"/>
      <w:sz w:val="24"/>
      <w:szCs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1">
    <w:name w:val="Grid Table 1 Light1"/>
    <w:basedOn w:val="TableNormal"/>
    <w:uiPriority w:val="46"/>
    <w:rsid w:val="00DA6227"/>
    <w:pPr>
      <w:spacing w:after="0" w:line="240" w:lineRule="auto"/>
    </w:pPr>
    <w:rPr>
      <w:rFonts w:eastAsiaTheme="minorEastAsia"/>
      <w:sz w:val="24"/>
      <w:szCs w:val="24"/>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92B60"/>
    <w:rPr>
      <w:color w:val="605E5C"/>
      <w:shd w:val="clear" w:color="auto" w:fill="E1DFDD"/>
    </w:rPr>
  </w:style>
  <w:style w:type="character" w:customStyle="1" w:styleId="normaltextrun">
    <w:name w:val="normaltextrun"/>
    <w:basedOn w:val="DefaultParagraphFont"/>
    <w:rsid w:val="00B17D9E"/>
  </w:style>
  <w:style w:type="character" w:customStyle="1" w:styleId="eop">
    <w:name w:val="eop"/>
    <w:basedOn w:val="DefaultParagraphFont"/>
    <w:rsid w:val="00B17D9E"/>
  </w:style>
  <w:style w:type="character" w:customStyle="1" w:styleId="Heading1Char">
    <w:name w:val="Heading 1 Char"/>
    <w:basedOn w:val="DefaultParagraphFont"/>
    <w:link w:val="Heading1"/>
    <w:uiPriority w:val="9"/>
    <w:rsid w:val="005A494C"/>
    <w:rPr>
      <w:rFonts w:asciiTheme="majorHAnsi" w:eastAsiaTheme="majorEastAsia" w:hAnsiTheme="majorHAnsi" w:cstheme="majorBidi"/>
      <w:color w:val="365F91" w:themeColor="accent1" w:themeShade="BF"/>
      <w:sz w:val="40"/>
      <w:szCs w:val="40"/>
      <w:lang w:val="en-GB"/>
    </w:rPr>
  </w:style>
  <w:style w:type="character" w:customStyle="1" w:styleId="Heading2Char">
    <w:name w:val="Heading 2 Char"/>
    <w:basedOn w:val="DefaultParagraphFont"/>
    <w:link w:val="Heading2"/>
    <w:uiPriority w:val="9"/>
    <w:rsid w:val="005A494C"/>
    <w:rPr>
      <w:rFonts w:asciiTheme="majorHAnsi" w:eastAsiaTheme="majorEastAsia" w:hAnsiTheme="majorHAnsi" w:cstheme="majorBidi"/>
      <w:color w:val="365F91" w:themeColor="accent1" w:themeShade="BF"/>
      <w:sz w:val="32"/>
      <w:szCs w:val="32"/>
      <w:lang w:val="en-GB"/>
    </w:rPr>
  </w:style>
  <w:style w:type="character" w:customStyle="1" w:styleId="Heading3Char">
    <w:name w:val="Heading 3 Char"/>
    <w:basedOn w:val="DefaultParagraphFont"/>
    <w:link w:val="Heading3"/>
    <w:uiPriority w:val="9"/>
    <w:rsid w:val="005A494C"/>
    <w:rPr>
      <w:rFonts w:eastAsiaTheme="majorEastAsia" w:cstheme="majorBidi"/>
      <w:color w:val="365F91" w:themeColor="accent1" w:themeShade="BF"/>
      <w:sz w:val="28"/>
      <w:szCs w:val="28"/>
      <w:lang w:val="en-GB"/>
    </w:rPr>
  </w:style>
  <w:style w:type="paragraph" w:styleId="TOC1">
    <w:name w:val="toc 1"/>
    <w:basedOn w:val="Normal"/>
    <w:next w:val="Normal"/>
    <w:autoRedefine/>
    <w:uiPriority w:val="39"/>
    <w:unhideWhenUsed/>
    <w:rsid w:val="005A494C"/>
    <w:pPr>
      <w:spacing w:after="100" w:line="259" w:lineRule="auto"/>
    </w:pPr>
    <w:rPr>
      <w:lang w:val="en-GB"/>
    </w:rPr>
  </w:style>
  <w:style w:type="paragraph" w:styleId="TOC2">
    <w:name w:val="toc 2"/>
    <w:basedOn w:val="Normal"/>
    <w:next w:val="Normal"/>
    <w:autoRedefine/>
    <w:uiPriority w:val="39"/>
    <w:unhideWhenUsed/>
    <w:rsid w:val="005A494C"/>
    <w:pPr>
      <w:spacing w:after="100" w:line="259" w:lineRule="auto"/>
      <w:ind w:left="220"/>
    </w:pPr>
    <w:rPr>
      <w:lang w:val="en-GB"/>
    </w:rPr>
  </w:style>
  <w:style w:type="paragraph" w:styleId="TOC3">
    <w:name w:val="toc 3"/>
    <w:basedOn w:val="Normal"/>
    <w:next w:val="Normal"/>
    <w:autoRedefine/>
    <w:uiPriority w:val="39"/>
    <w:unhideWhenUsed/>
    <w:rsid w:val="005A494C"/>
    <w:pPr>
      <w:spacing w:after="100" w:line="259" w:lineRule="auto"/>
      <w:ind w:left="44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014450">
      <w:bodyDiv w:val="1"/>
      <w:marLeft w:val="0"/>
      <w:marRight w:val="0"/>
      <w:marTop w:val="0"/>
      <w:marBottom w:val="0"/>
      <w:divBdr>
        <w:top w:val="none" w:sz="0" w:space="0" w:color="auto"/>
        <w:left w:val="none" w:sz="0" w:space="0" w:color="auto"/>
        <w:bottom w:val="none" w:sz="0" w:space="0" w:color="auto"/>
        <w:right w:val="none" w:sz="0" w:space="0" w:color="auto"/>
      </w:divBdr>
      <w:divsChild>
        <w:div w:id="543567351">
          <w:marLeft w:val="0"/>
          <w:marRight w:val="0"/>
          <w:marTop w:val="240"/>
          <w:marBottom w:val="240"/>
          <w:divBdr>
            <w:top w:val="none" w:sz="0" w:space="0" w:color="auto"/>
            <w:left w:val="none" w:sz="0" w:space="0" w:color="auto"/>
            <w:bottom w:val="none" w:sz="0" w:space="0" w:color="auto"/>
            <w:right w:val="none" w:sz="0" w:space="0" w:color="auto"/>
          </w:divBdr>
        </w:div>
        <w:div w:id="1930238514">
          <w:marLeft w:val="0"/>
          <w:marRight w:val="0"/>
          <w:marTop w:val="240"/>
          <w:marBottom w:val="240"/>
          <w:divBdr>
            <w:top w:val="none" w:sz="0" w:space="0" w:color="auto"/>
            <w:left w:val="none" w:sz="0" w:space="0" w:color="auto"/>
            <w:bottom w:val="none" w:sz="0" w:space="0" w:color="auto"/>
            <w:right w:val="none" w:sz="0" w:space="0" w:color="auto"/>
          </w:divBdr>
        </w:div>
      </w:divsChild>
    </w:div>
    <w:div w:id="275792128">
      <w:bodyDiv w:val="1"/>
      <w:marLeft w:val="0"/>
      <w:marRight w:val="0"/>
      <w:marTop w:val="0"/>
      <w:marBottom w:val="0"/>
      <w:divBdr>
        <w:top w:val="none" w:sz="0" w:space="0" w:color="auto"/>
        <w:left w:val="none" w:sz="0" w:space="0" w:color="auto"/>
        <w:bottom w:val="none" w:sz="0" w:space="0" w:color="auto"/>
        <w:right w:val="none" w:sz="0" w:space="0" w:color="auto"/>
      </w:divBdr>
    </w:div>
    <w:div w:id="294602719">
      <w:bodyDiv w:val="1"/>
      <w:marLeft w:val="0"/>
      <w:marRight w:val="0"/>
      <w:marTop w:val="0"/>
      <w:marBottom w:val="0"/>
      <w:divBdr>
        <w:top w:val="none" w:sz="0" w:space="0" w:color="auto"/>
        <w:left w:val="none" w:sz="0" w:space="0" w:color="auto"/>
        <w:bottom w:val="none" w:sz="0" w:space="0" w:color="auto"/>
        <w:right w:val="none" w:sz="0" w:space="0" w:color="auto"/>
      </w:divBdr>
      <w:divsChild>
        <w:div w:id="519390746">
          <w:marLeft w:val="0"/>
          <w:marRight w:val="0"/>
          <w:marTop w:val="0"/>
          <w:marBottom w:val="0"/>
          <w:divBdr>
            <w:top w:val="none" w:sz="0" w:space="0" w:color="auto"/>
            <w:left w:val="none" w:sz="0" w:space="0" w:color="auto"/>
            <w:bottom w:val="none" w:sz="0" w:space="0" w:color="auto"/>
            <w:right w:val="none" w:sz="0" w:space="0" w:color="auto"/>
          </w:divBdr>
        </w:div>
        <w:div w:id="1866166687">
          <w:marLeft w:val="0"/>
          <w:marRight w:val="0"/>
          <w:marTop w:val="240"/>
          <w:marBottom w:val="240"/>
          <w:divBdr>
            <w:top w:val="none" w:sz="0" w:space="0" w:color="auto"/>
            <w:left w:val="none" w:sz="0" w:space="0" w:color="auto"/>
            <w:bottom w:val="none" w:sz="0" w:space="0" w:color="auto"/>
            <w:right w:val="none" w:sz="0" w:space="0" w:color="auto"/>
          </w:divBdr>
        </w:div>
        <w:div w:id="2086802109">
          <w:marLeft w:val="0"/>
          <w:marRight w:val="0"/>
          <w:marTop w:val="0"/>
          <w:marBottom w:val="0"/>
          <w:divBdr>
            <w:top w:val="none" w:sz="0" w:space="0" w:color="auto"/>
            <w:left w:val="none" w:sz="0" w:space="0" w:color="auto"/>
            <w:bottom w:val="none" w:sz="0" w:space="0" w:color="auto"/>
            <w:right w:val="none" w:sz="0" w:space="0" w:color="auto"/>
          </w:divBdr>
        </w:div>
        <w:div w:id="1631593372">
          <w:marLeft w:val="0"/>
          <w:marRight w:val="0"/>
          <w:marTop w:val="240"/>
          <w:marBottom w:val="240"/>
          <w:divBdr>
            <w:top w:val="none" w:sz="0" w:space="0" w:color="auto"/>
            <w:left w:val="none" w:sz="0" w:space="0" w:color="auto"/>
            <w:bottom w:val="none" w:sz="0" w:space="0" w:color="auto"/>
            <w:right w:val="none" w:sz="0" w:space="0" w:color="auto"/>
          </w:divBdr>
        </w:div>
        <w:div w:id="1000616471">
          <w:marLeft w:val="0"/>
          <w:marRight w:val="0"/>
          <w:marTop w:val="240"/>
          <w:marBottom w:val="240"/>
          <w:divBdr>
            <w:top w:val="none" w:sz="0" w:space="0" w:color="auto"/>
            <w:left w:val="none" w:sz="0" w:space="0" w:color="auto"/>
            <w:bottom w:val="none" w:sz="0" w:space="0" w:color="auto"/>
            <w:right w:val="none" w:sz="0" w:space="0" w:color="auto"/>
          </w:divBdr>
        </w:div>
        <w:div w:id="604577582">
          <w:marLeft w:val="0"/>
          <w:marRight w:val="0"/>
          <w:marTop w:val="240"/>
          <w:marBottom w:val="240"/>
          <w:divBdr>
            <w:top w:val="none" w:sz="0" w:space="0" w:color="auto"/>
            <w:left w:val="none" w:sz="0" w:space="0" w:color="auto"/>
            <w:bottom w:val="none" w:sz="0" w:space="0" w:color="auto"/>
            <w:right w:val="none" w:sz="0" w:space="0" w:color="auto"/>
          </w:divBdr>
        </w:div>
        <w:div w:id="988247012">
          <w:marLeft w:val="0"/>
          <w:marRight w:val="0"/>
          <w:marTop w:val="0"/>
          <w:marBottom w:val="0"/>
          <w:divBdr>
            <w:top w:val="none" w:sz="0" w:space="0" w:color="auto"/>
            <w:left w:val="none" w:sz="0" w:space="0" w:color="auto"/>
            <w:bottom w:val="none" w:sz="0" w:space="0" w:color="auto"/>
            <w:right w:val="none" w:sz="0" w:space="0" w:color="auto"/>
          </w:divBdr>
        </w:div>
        <w:div w:id="360403949">
          <w:marLeft w:val="0"/>
          <w:marRight w:val="0"/>
          <w:marTop w:val="240"/>
          <w:marBottom w:val="240"/>
          <w:divBdr>
            <w:top w:val="none" w:sz="0" w:space="0" w:color="auto"/>
            <w:left w:val="none" w:sz="0" w:space="0" w:color="auto"/>
            <w:bottom w:val="none" w:sz="0" w:space="0" w:color="auto"/>
            <w:right w:val="none" w:sz="0" w:space="0" w:color="auto"/>
          </w:divBdr>
        </w:div>
        <w:div w:id="1574731640">
          <w:marLeft w:val="0"/>
          <w:marRight w:val="0"/>
          <w:marTop w:val="240"/>
          <w:marBottom w:val="240"/>
          <w:divBdr>
            <w:top w:val="none" w:sz="0" w:space="0" w:color="auto"/>
            <w:left w:val="none" w:sz="0" w:space="0" w:color="auto"/>
            <w:bottom w:val="none" w:sz="0" w:space="0" w:color="auto"/>
            <w:right w:val="none" w:sz="0" w:space="0" w:color="auto"/>
          </w:divBdr>
        </w:div>
        <w:div w:id="1513639739">
          <w:marLeft w:val="0"/>
          <w:marRight w:val="0"/>
          <w:marTop w:val="0"/>
          <w:marBottom w:val="0"/>
          <w:divBdr>
            <w:top w:val="none" w:sz="0" w:space="0" w:color="auto"/>
            <w:left w:val="none" w:sz="0" w:space="0" w:color="auto"/>
            <w:bottom w:val="none" w:sz="0" w:space="0" w:color="auto"/>
            <w:right w:val="none" w:sz="0" w:space="0" w:color="auto"/>
          </w:divBdr>
        </w:div>
        <w:div w:id="996033956">
          <w:marLeft w:val="0"/>
          <w:marRight w:val="0"/>
          <w:marTop w:val="240"/>
          <w:marBottom w:val="240"/>
          <w:divBdr>
            <w:top w:val="none" w:sz="0" w:space="0" w:color="auto"/>
            <w:left w:val="none" w:sz="0" w:space="0" w:color="auto"/>
            <w:bottom w:val="none" w:sz="0" w:space="0" w:color="auto"/>
            <w:right w:val="none" w:sz="0" w:space="0" w:color="auto"/>
          </w:divBdr>
        </w:div>
        <w:div w:id="1085227199">
          <w:marLeft w:val="0"/>
          <w:marRight w:val="0"/>
          <w:marTop w:val="240"/>
          <w:marBottom w:val="240"/>
          <w:divBdr>
            <w:top w:val="none" w:sz="0" w:space="0" w:color="auto"/>
            <w:left w:val="none" w:sz="0" w:space="0" w:color="auto"/>
            <w:bottom w:val="none" w:sz="0" w:space="0" w:color="auto"/>
            <w:right w:val="none" w:sz="0" w:space="0" w:color="auto"/>
          </w:divBdr>
        </w:div>
        <w:div w:id="218174400">
          <w:marLeft w:val="0"/>
          <w:marRight w:val="0"/>
          <w:marTop w:val="240"/>
          <w:marBottom w:val="240"/>
          <w:divBdr>
            <w:top w:val="none" w:sz="0" w:space="0" w:color="auto"/>
            <w:left w:val="none" w:sz="0" w:space="0" w:color="auto"/>
            <w:bottom w:val="none" w:sz="0" w:space="0" w:color="auto"/>
            <w:right w:val="none" w:sz="0" w:space="0" w:color="auto"/>
          </w:divBdr>
        </w:div>
        <w:div w:id="845704901">
          <w:marLeft w:val="0"/>
          <w:marRight w:val="0"/>
          <w:marTop w:val="0"/>
          <w:marBottom w:val="0"/>
          <w:divBdr>
            <w:top w:val="none" w:sz="0" w:space="0" w:color="auto"/>
            <w:left w:val="none" w:sz="0" w:space="0" w:color="auto"/>
            <w:bottom w:val="none" w:sz="0" w:space="0" w:color="auto"/>
            <w:right w:val="none" w:sz="0" w:space="0" w:color="auto"/>
          </w:divBdr>
        </w:div>
        <w:div w:id="615721064">
          <w:marLeft w:val="0"/>
          <w:marRight w:val="0"/>
          <w:marTop w:val="240"/>
          <w:marBottom w:val="240"/>
          <w:divBdr>
            <w:top w:val="none" w:sz="0" w:space="0" w:color="auto"/>
            <w:left w:val="none" w:sz="0" w:space="0" w:color="auto"/>
            <w:bottom w:val="none" w:sz="0" w:space="0" w:color="auto"/>
            <w:right w:val="none" w:sz="0" w:space="0" w:color="auto"/>
          </w:divBdr>
        </w:div>
        <w:div w:id="825391366">
          <w:marLeft w:val="0"/>
          <w:marRight w:val="0"/>
          <w:marTop w:val="240"/>
          <w:marBottom w:val="240"/>
          <w:divBdr>
            <w:top w:val="none" w:sz="0" w:space="0" w:color="auto"/>
            <w:left w:val="none" w:sz="0" w:space="0" w:color="auto"/>
            <w:bottom w:val="none" w:sz="0" w:space="0" w:color="auto"/>
            <w:right w:val="none" w:sz="0" w:space="0" w:color="auto"/>
          </w:divBdr>
        </w:div>
      </w:divsChild>
    </w:div>
    <w:div w:id="446704609">
      <w:bodyDiv w:val="1"/>
      <w:marLeft w:val="0"/>
      <w:marRight w:val="0"/>
      <w:marTop w:val="0"/>
      <w:marBottom w:val="0"/>
      <w:divBdr>
        <w:top w:val="none" w:sz="0" w:space="0" w:color="auto"/>
        <w:left w:val="none" w:sz="0" w:space="0" w:color="auto"/>
        <w:bottom w:val="none" w:sz="0" w:space="0" w:color="auto"/>
        <w:right w:val="none" w:sz="0" w:space="0" w:color="auto"/>
      </w:divBdr>
    </w:div>
    <w:div w:id="574979078">
      <w:bodyDiv w:val="1"/>
      <w:marLeft w:val="0"/>
      <w:marRight w:val="0"/>
      <w:marTop w:val="0"/>
      <w:marBottom w:val="0"/>
      <w:divBdr>
        <w:top w:val="none" w:sz="0" w:space="0" w:color="auto"/>
        <w:left w:val="none" w:sz="0" w:space="0" w:color="auto"/>
        <w:bottom w:val="none" w:sz="0" w:space="0" w:color="auto"/>
        <w:right w:val="none" w:sz="0" w:space="0" w:color="auto"/>
      </w:divBdr>
    </w:div>
    <w:div w:id="623655085">
      <w:bodyDiv w:val="1"/>
      <w:marLeft w:val="0"/>
      <w:marRight w:val="0"/>
      <w:marTop w:val="0"/>
      <w:marBottom w:val="0"/>
      <w:divBdr>
        <w:top w:val="none" w:sz="0" w:space="0" w:color="auto"/>
        <w:left w:val="none" w:sz="0" w:space="0" w:color="auto"/>
        <w:bottom w:val="none" w:sz="0" w:space="0" w:color="auto"/>
        <w:right w:val="none" w:sz="0" w:space="0" w:color="auto"/>
      </w:divBdr>
    </w:div>
    <w:div w:id="721750817">
      <w:bodyDiv w:val="1"/>
      <w:marLeft w:val="0"/>
      <w:marRight w:val="0"/>
      <w:marTop w:val="0"/>
      <w:marBottom w:val="0"/>
      <w:divBdr>
        <w:top w:val="none" w:sz="0" w:space="0" w:color="auto"/>
        <w:left w:val="none" w:sz="0" w:space="0" w:color="auto"/>
        <w:bottom w:val="none" w:sz="0" w:space="0" w:color="auto"/>
        <w:right w:val="none" w:sz="0" w:space="0" w:color="auto"/>
      </w:divBdr>
    </w:div>
    <w:div w:id="1288269890">
      <w:bodyDiv w:val="1"/>
      <w:marLeft w:val="0"/>
      <w:marRight w:val="0"/>
      <w:marTop w:val="0"/>
      <w:marBottom w:val="0"/>
      <w:divBdr>
        <w:top w:val="none" w:sz="0" w:space="0" w:color="auto"/>
        <w:left w:val="none" w:sz="0" w:space="0" w:color="auto"/>
        <w:bottom w:val="none" w:sz="0" w:space="0" w:color="auto"/>
        <w:right w:val="none" w:sz="0" w:space="0" w:color="auto"/>
      </w:divBdr>
    </w:div>
    <w:div w:id="1328245435">
      <w:bodyDiv w:val="1"/>
      <w:marLeft w:val="0"/>
      <w:marRight w:val="0"/>
      <w:marTop w:val="0"/>
      <w:marBottom w:val="0"/>
      <w:divBdr>
        <w:top w:val="none" w:sz="0" w:space="0" w:color="auto"/>
        <w:left w:val="none" w:sz="0" w:space="0" w:color="auto"/>
        <w:bottom w:val="none" w:sz="0" w:space="0" w:color="auto"/>
        <w:right w:val="none" w:sz="0" w:space="0" w:color="auto"/>
      </w:divBdr>
      <w:divsChild>
        <w:div w:id="1297907662">
          <w:marLeft w:val="0"/>
          <w:marRight w:val="0"/>
          <w:marTop w:val="0"/>
          <w:marBottom w:val="0"/>
          <w:divBdr>
            <w:top w:val="none" w:sz="0" w:space="0" w:color="auto"/>
            <w:left w:val="none" w:sz="0" w:space="0" w:color="auto"/>
            <w:bottom w:val="none" w:sz="0" w:space="0" w:color="auto"/>
            <w:right w:val="none" w:sz="0" w:space="0" w:color="auto"/>
          </w:divBdr>
        </w:div>
        <w:div w:id="1059206416">
          <w:marLeft w:val="0"/>
          <w:marRight w:val="0"/>
          <w:marTop w:val="240"/>
          <w:marBottom w:val="240"/>
          <w:divBdr>
            <w:top w:val="none" w:sz="0" w:space="0" w:color="auto"/>
            <w:left w:val="none" w:sz="0" w:space="0" w:color="auto"/>
            <w:bottom w:val="none" w:sz="0" w:space="0" w:color="auto"/>
            <w:right w:val="none" w:sz="0" w:space="0" w:color="auto"/>
          </w:divBdr>
        </w:div>
        <w:div w:id="820583815">
          <w:marLeft w:val="0"/>
          <w:marRight w:val="0"/>
          <w:marTop w:val="0"/>
          <w:marBottom w:val="0"/>
          <w:divBdr>
            <w:top w:val="none" w:sz="0" w:space="0" w:color="auto"/>
            <w:left w:val="none" w:sz="0" w:space="0" w:color="auto"/>
            <w:bottom w:val="none" w:sz="0" w:space="0" w:color="auto"/>
            <w:right w:val="none" w:sz="0" w:space="0" w:color="auto"/>
          </w:divBdr>
        </w:div>
        <w:div w:id="1122723224">
          <w:marLeft w:val="0"/>
          <w:marRight w:val="0"/>
          <w:marTop w:val="240"/>
          <w:marBottom w:val="240"/>
          <w:divBdr>
            <w:top w:val="none" w:sz="0" w:space="0" w:color="auto"/>
            <w:left w:val="none" w:sz="0" w:space="0" w:color="auto"/>
            <w:bottom w:val="none" w:sz="0" w:space="0" w:color="auto"/>
            <w:right w:val="none" w:sz="0" w:space="0" w:color="auto"/>
          </w:divBdr>
        </w:div>
        <w:div w:id="618997462">
          <w:marLeft w:val="0"/>
          <w:marRight w:val="0"/>
          <w:marTop w:val="240"/>
          <w:marBottom w:val="240"/>
          <w:divBdr>
            <w:top w:val="none" w:sz="0" w:space="0" w:color="auto"/>
            <w:left w:val="none" w:sz="0" w:space="0" w:color="auto"/>
            <w:bottom w:val="none" w:sz="0" w:space="0" w:color="auto"/>
            <w:right w:val="none" w:sz="0" w:space="0" w:color="auto"/>
          </w:divBdr>
        </w:div>
        <w:div w:id="1616445476">
          <w:marLeft w:val="0"/>
          <w:marRight w:val="0"/>
          <w:marTop w:val="240"/>
          <w:marBottom w:val="240"/>
          <w:divBdr>
            <w:top w:val="none" w:sz="0" w:space="0" w:color="auto"/>
            <w:left w:val="none" w:sz="0" w:space="0" w:color="auto"/>
            <w:bottom w:val="none" w:sz="0" w:space="0" w:color="auto"/>
            <w:right w:val="none" w:sz="0" w:space="0" w:color="auto"/>
          </w:divBdr>
        </w:div>
        <w:div w:id="1745762023">
          <w:marLeft w:val="0"/>
          <w:marRight w:val="0"/>
          <w:marTop w:val="0"/>
          <w:marBottom w:val="0"/>
          <w:divBdr>
            <w:top w:val="none" w:sz="0" w:space="0" w:color="auto"/>
            <w:left w:val="none" w:sz="0" w:space="0" w:color="auto"/>
            <w:bottom w:val="none" w:sz="0" w:space="0" w:color="auto"/>
            <w:right w:val="none" w:sz="0" w:space="0" w:color="auto"/>
          </w:divBdr>
        </w:div>
        <w:div w:id="1396733092">
          <w:marLeft w:val="0"/>
          <w:marRight w:val="0"/>
          <w:marTop w:val="240"/>
          <w:marBottom w:val="240"/>
          <w:divBdr>
            <w:top w:val="none" w:sz="0" w:space="0" w:color="auto"/>
            <w:left w:val="none" w:sz="0" w:space="0" w:color="auto"/>
            <w:bottom w:val="none" w:sz="0" w:space="0" w:color="auto"/>
            <w:right w:val="none" w:sz="0" w:space="0" w:color="auto"/>
          </w:divBdr>
        </w:div>
        <w:div w:id="1968851705">
          <w:marLeft w:val="0"/>
          <w:marRight w:val="0"/>
          <w:marTop w:val="240"/>
          <w:marBottom w:val="240"/>
          <w:divBdr>
            <w:top w:val="none" w:sz="0" w:space="0" w:color="auto"/>
            <w:left w:val="none" w:sz="0" w:space="0" w:color="auto"/>
            <w:bottom w:val="none" w:sz="0" w:space="0" w:color="auto"/>
            <w:right w:val="none" w:sz="0" w:space="0" w:color="auto"/>
          </w:divBdr>
        </w:div>
        <w:div w:id="1368725725">
          <w:marLeft w:val="0"/>
          <w:marRight w:val="0"/>
          <w:marTop w:val="0"/>
          <w:marBottom w:val="0"/>
          <w:divBdr>
            <w:top w:val="none" w:sz="0" w:space="0" w:color="auto"/>
            <w:left w:val="none" w:sz="0" w:space="0" w:color="auto"/>
            <w:bottom w:val="none" w:sz="0" w:space="0" w:color="auto"/>
            <w:right w:val="none" w:sz="0" w:space="0" w:color="auto"/>
          </w:divBdr>
        </w:div>
        <w:div w:id="2010518093">
          <w:marLeft w:val="0"/>
          <w:marRight w:val="0"/>
          <w:marTop w:val="240"/>
          <w:marBottom w:val="240"/>
          <w:divBdr>
            <w:top w:val="none" w:sz="0" w:space="0" w:color="auto"/>
            <w:left w:val="none" w:sz="0" w:space="0" w:color="auto"/>
            <w:bottom w:val="none" w:sz="0" w:space="0" w:color="auto"/>
            <w:right w:val="none" w:sz="0" w:space="0" w:color="auto"/>
          </w:divBdr>
        </w:div>
        <w:div w:id="720859064">
          <w:marLeft w:val="0"/>
          <w:marRight w:val="0"/>
          <w:marTop w:val="240"/>
          <w:marBottom w:val="240"/>
          <w:divBdr>
            <w:top w:val="none" w:sz="0" w:space="0" w:color="auto"/>
            <w:left w:val="none" w:sz="0" w:space="0" w:color="auto"/>
            <w:bottom w:val="none" w:sz="0" w:space="0" w:color="auto"/>
            <w:right w:val="none" w:sz="0" w:space="0" w:color="auto"/>
          </w:divBdr>
        </w:div>
        <w:div w:id="175850181">
          <w:marLeft w:val="0"/>
          <w:marRight w:val="0"/>
          <w:marTop w:val="240"/>
          <w:marBottom w:val="240"/>
          <w:divBdr>
            <w:top w:val="none" w:sz="0" w:space="0" w:color="auto"/>
            <w:left w:val="none" w:sz="0" w:space="0" w:color="auto"/>
            <w:bottom w:val="none" w:sz="0" w:space="0" w:color="auto"/>
            <w:right w:val="none" w:sz="0" w:space="0" w:color="auto"/>
          </w:divBdr>
        </w:div>
        <w:div w:id="275531141">
          <w:marLeft w:val="0"/>
          <w:marRight w:val="0"/>
          <w:marTop w:val="0"/>
          <w:marBottom w:val="0"/>
          <w:divBdr>
            <w:top w:val="none" w:sz="0" w:space="0" w:color="auto"/>
            <w:left w:val="none" w:sz="0" w:space="0" w:color="auto"/>
            <w:bottom w:val="none" w:sz="0" w:space="0" w:color="auto"/>
            <w:right w:val="none" w:sz="0" w:space="0" w:color="auto"/>
          </w:divBdr>
        </w:div>
        <w:div w:id="693651434">
          <w:marLeft w:val="0"/>
          <w:marRight w:val="0"/>
          <w:marTop w:val="240"/>
          <w:marBottom w:val="240"/>
          <w:divBdr>
            <w:top w:val="none" w:sz="0" w:space="0" w:color="auto"/>
            <w:left w:val="none" w:sz="0" w:space="0" w:color="auto"/>
            <w:bottom w:val="none" w:sz="0" w:space="0" w:color="auto"/>
            <w:right w:val="none" w:sz="0" w:space="0" w:color="auto"/>
          </w:divBdr>
        </w:div>
        <w:div w:id="1802335479">
          <w:marLeft w:val="0"/>
          <w:marRight w:val="0"/>
          <w:marTop w:val="240"/>
          <w:marBottom w:val="240"/>
          <w:divBdr>
            <w:top w:val="none" w:sz="0" w:space="0" w:color="auto"/>
            <w:left w:val="none" w:sz="0" w:space="0" w:color="auto"/>
            <w:bottom w:val="none" w:sz="0" w:space="0" w:color="auto"/>
            <w:right w:val="none" w:sz="0" w:space="0" w:color="auto"/>
          </w:divBdr>
        </w:div>
      </w:divsChild>
    </w:div>
    <w:div w:id="1879273857">
      <w:bodyDiv w:val="1"/>
      <w:marLeft w:val="0"/>
      <w:marRight w:val="0"/>
      <w:marTop w:val="0"/>
      <w:marBottom w:val="0"/>
      <w:divBdr>
        <w:top w:val="none" w:sz="0" w:space="0" w:color="auto"/>
        <w:left w:val="none" w:sz="0" w:space="0" w:color="auto"/>
        <w:bottom w:val="none" w:sz="0" w:space="0" w:color="auto"/>
        <w:right w:val="none" w:sz="0" w:space="0" w:color="auto"/>
      </w:divBdr>
    </w:div>
    <w:div w:id="1884707727">
      <w:bodyDiv w:val="1"/>
      <w:marLeft w:val="0"/>
      <w:marRight w:val="0"/>
      <w:marTop w:val="0"/>
      <w:marBottom w:val="0"/>
      <w:divBdr>
        <w:top w:val="none" w:sz="0" w:space="0" w:color="auto"/>
        <w:left w:val="none" w:sz="0" w:space="0" w:color="auto"/>
        <w:bottom w:val="none" w:sz="0" w:space="0" w:color="auto"/>
        <w:right w:val="none" w:sz="0" w:space="0" w:color="auto"/>
      </w:divBdr>
    </w:div>
    <w:div w:id="1898517590">
      <w:bodyDiv w:val="1"/>
      <w:marLeft w:val="0"/>
      <w:marRight w:val="0"/>
      <w:marTop w:val="0"/>
      <w:marBottom w:val="0"/>
      <w:divBdr>
        <w:top w:val="none" w:sz="0" w:space="0" w:color="auto"/>
        <w:left w:val="none" w:sz="0" w:space="0" w:color="auto"/>
        <w:bottom w:val="none" w:sz="0" w:space="0" w:color="auto"/>
        <w:right w:val="none" w:sz="0" w:space="0" w:color="auto"/>
      </w:divBdr>
    </w:div>
    <w:div w:id="1914926045">
      <w:bodyDiv w:val="1"/>
      <w:marLeft w:val="0"/>
      <w:marRight w:val="0"/>
      <w:marTop w:val="0"/>
      <w:marBottom w:val="0"/>
      <w:divBdr>
        <w:top w:val="none" w:sz="0" w:space="0" w:color="auto"/>
        <w:left w:val="none" w:sz="0" w:space="0" w:color="auto"/>
        <w:bottom w:val="none" w:sz="0" w:space="0" w:color="auto"/>
        <w:right w:val="none" w:sz="0" w:space="0" w:color="auto"/>
      </w:divBdr>
      <w:divsChild>
        <w:div w:id="1559173635">
          <w:marLeft w:val="0"/>
          <w:marRight w:val="0"/>
          <w:marTop w:val="240"/>
          <w:marBottom w:val="240"/>
          <w:divBdr>
            <w:top w:val="none" w:sz="0" w:space="0" w:color="auto"/>
            <w:left w:val="none" w:sz="0" w:space="0" w:color="auto"/>
            <w:bottom w:val="none" w:sz="0" w:space="0" w:color="auto"/>
            <w:right w:val="none" w:sz="0" w:space="0" w:color="auto"/>
          </w:divBdr>
        </w:div>
        <w:div w:id="59255747">
          <w:marLeft w:val="0"/>
          <w:marRight w:val="0"/>
          <w:marTop w:val="240"/>
          <w:marBottom w:val="240"/>
          <w:divBdr>
            <w:top w:val="none" w:sz="0" w:space="0" w:color="auto"/>
            <w:left w:val="none" w:sz="0" w:space="0" w:color="auto"/>
            <w:bottom w:val="none" w:sz="0" w:space="0" w:color="auto"/>
            <w:right w:val="none" w:sz="0" w:space="0" w:color="auto"/>
          </w:divBdr>
        </w:div>
      </w:divsChild>
    </w:div>
    <w:div w:id="2083331361">
      <w:bodyDiv w:val="1"/>
      <w:marLeft w:val="0"/>
      <w:marRight w:val="0"/>
      <w:marTop w:val="0"/>
      <w:marBottom w:val="0"/>
      <w:divBdr>
        <w:top w:val="none" w:sz="0" w:space="0" w:color="auto"/>
        <w:left w:val="none" w:sz="0" w:space="0" w:color="auto"/>
        <w:bottom w:val="none" w:sz="0" w:space="0" w:color="auto"/>
        <w:right w:val="none" w:sz="0" w:space="0" w:color="auto"/>
      </w:divBdr>
    </w:div>
    <w:div w:id="212048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AC3DC-A3A9-4572-A1C5-993A21EEB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4130</Words>
  <Characters>23547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Criss</dc:creator>
  <cp:lastModifiedBy>Andra Tiderle</cp:lastModifiedBy>
  <cp:revision>2</cp:revision>
  <cp:lastPrinted>2025-04-07T07:27:00Z</cp:lastPrinted>
  <dcterms:created xsi:type="dcterms:W3CDTF">2025-04-11T09:03:00Z</dcterms:created>
  <dcterms:modified xsi:type="dcterms:W3CDTF">2025-04-11T09:03:00Z</dcterms:modified>
</cp:coreProperties>
</file>